
<file path=[Content_Types].xml><?xml version="1.0" encoding="utf-8"?>
<Types xmlns="http://schemas.openxmlformats.org/package/2006/content-types">
  <Default Extension="xml" ContentType="application/xml"/>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wordWrap w:val="0"/>
        <w:jc w:val="center"/>
        <w:rPr>
          <w:rFonts w:ascii="Calibri" w:hAnsi="Calibri" w:eastAsia="宋体" w:cs="宋体"/>
          <w:color w:val="000000"/>
          <w:kern w:val="0"/>
          <w:szCs w:val="21"/>
        </w:rPr>
      </w:pPr>
      <w:r>
        <w:rPr>
          <w:rFonts w:hint="eastAsia" w:ascii="宋体" w:hAnsi="宋体" w:eastAsia="宋体" w:cs="宋体"/>
          <w:b/>
          <w:bCs/>
          <w:color w:val="21201E"/>
          <w:kern w:val="0"/>
          <w:sz w:val="44"/>
          <w:szCs w:val="44"/>
        </w:rPr>
        <w:t>福建省泉州第一中学东海校区教室门、学生公寓宿舍门项目招标公告</w:t>
      </w:r>
    </w:p>
    <w:p>
      <w:pPr>
        <w:widowControl/>
        <w:wordWrap w:val="0"/>
        <w:spacing w:line="540" w:lineRule="atLeast"/>
        <w:jc w:val="left"/>
        <w:rPr>
          <w:rFonts w:ascii="Calibri" w:hAnsi="Calibri" w:eastAsia="宋体" w:cs="宋体"/>
          <w:color w:val="000000"/>
          <w:kern w:val="0"/>
          <w:szCs w:val="21"/>
        </w:rPr>
      </w:pPr>
      <w:r>
        <w:rPr>
          <w:rFonts w:hint="eastAsia" w:ascii="宋体" w:hAnsi="宋体" w:eastAsia="宋体" w:cs="宋体"/>
          <w:color w:val="21201E"/>
          <w:kern w:val="0"/>
          <w:sz w:val="28"/>
          <w:szCs w:val="28"/>
        </w:rPr>
        <w:t>1.招标条件</w:t>
      </w:r>
    </w:p>
    <w:p>
      <w:pPr>
        <w:widowControl/>
        <w:wordWrap w:val="0"/>
        <w:spacing w:line="540" w:lineRule="atLeast"/>
        <w:ind w:firstLine="560"/>
        <w:jc w:val="left"/>
        <w:rPr>
          <w:rFonts w:ascii="Calibri" w:hAnsi="Calibri" w:eastAsia="宋体" w:cs="宋体"/>
          <w:color w:val="000000"/>
          <w:kern w:val="0"/>
          <w:szCs w:val="21"/>
        </w:rPr>
      </w:pPr>
      <w:r>
        <w:rPr>
          <w:rFonts w:hint="eastAsia" w:ascii="宋体" w:hAnsi="宋体" w:eastAsia="宋体" w:cs="宋体"/>
          <w:color w:val="21201E"/>
          <w:kern w:val="0"/>
          <w:sz w:val="28"/>
          <w:szCs w:val="28"/>
          <w:u w:val="single"/>
        </w:rPr>
        <w:t>福建省泉州第一中学东海校区教室门、学生公寓宿舍门项目</w:t>
      </w:r>
      <w:r>
        <w:rPr>
          <w:rFonts w:hint="eastAsia" w:ascii="宋体" w:hAnsi="宋体" w:eastAsia="宋体" w:cs="宋体"/>
          <w:color w:val="21201E"/>
          <w:kern w:val="0"/>
          <w:sz w:val="28"/>
          <w:szCs w:val="28"/>
        </w:rPr>
        <w:t>已经</w:t>
      </w:r>
      <w:r>
        <w:rPr>
          <w:rFonts w:ascii="Calibri" w:hAnsi="Calibri" w:eastAsia="宋体" w:cs="宋体"/>
          <w:color w:val="21201E"/>
          <w:kern w:val="0"/>
          <w:sz w:val="28"/>
          <w:szCs w:val="28"/>
          <w:u w:val="single"/>
        </w:rPr>
        <w:t> </w:t>
      </w:r>
      <w:r>
        <w:rPr>
          <w:rFonts w:hint="eastAsia" w:ascii="宋体" w:hAnsi="宋体" w:eastAsia="宋体" w:cs="宋体"/>
          <w:color w:val="21201E"/>
          <w:kern w:val="0"/>
          <w:sz w:val="28"/>
          <w:szCs w:val="28"/>
          <w:u w:val="single"/>
        </w:rPr>
        <w:t>校党委</w:t>
      </w:r>
      <w:r>
        <w:rPr>
          <w:rFonts w:hint="eastAsia" w:ascii="宋体" w:hAnsi="宋体" w:eastAsia="宋体" w:cs="宋体"/>
          <w:color w:val="21201E"/>
          <w:kern w:val="0"/>
          <w:sz w:val="28"/>
          <w:szCs w:val="28"/>
        </w:rPr>
        <w:t>研究同意实施。目前已具备供应商招标条件，现就供应商进行</w:t>
      </w:r>
      <w:r>
        <w:rPr>
          <w:rFonts w:hint="eastAsia" w:ascii="宋体" w:hAnsi="宋体" w:eastAsia="宋体" w:cs="宋体"/>
          <w:color w:val="21201E"/>
          <w:kern w:val="0"/>
          <w:sz w:val="28"/>
          <w:szCs w:val="28"/>
          <w:u w:val="single"/>
        </w:rPr>
        <w:t>招标 </w:t>
      </w:r>
      <w:r>
        <w:rPr>
          <w:rFonts w:hint="eastAsia" w:ascii="宋体" w:hAnsi="宋体" w:eastAsia="宋体" w:cs="宋体"/>
          <w:color w:val="21201E"/>
          <w:kern w:val="0"/>
          <w:sz w:val="28"/>
          <w:szCs w:val="28"/>
        </w:rPr>
        <w:t>，招标人为</w:t>
      </w:r>
      <w:r>
        <w:rPr>
          <w:rFonts w:hint="eastAsia" w:ascii="宋体" w:hAnsi="宋体" w:eastAsia="宋体" w:cs="宋体"/>
          <w:color w:val="21201E"/>
          <w:kern w:val="0"/>
          <w:sz w:val="28"/>
          <w:szCs w:val="28"/>
          <w:u w:val="single"/>
        </w:rPr>
        <w:t>福建省泉州第一中学</w:t>
      </w:r>
      <w:r>
        <w:rPr>
          <w:rFonts w:hint="eastAsia" w:ascii="宋体" w:hAnsi="宋体" w:eastAsia="宋体" w:cs="宋体"/>
          <w:color w:val="21201E"/>
          <w:kern w:val="0"/>
          <w:sz w:val="28"/>
          <w:szCs w:val="28"/>
        </w:rPr>
        <w:t>。</w:t>
      </w:r>
    </w:p>
    <w:p>
      <w:pPr>
        <w:widowControl/>
        <w:wordWrap w:val="0"/>
        <w:spacing w:line="540" w:lineRule="atLeast"/>
        <w:jc w:val="left"/>
        <w:rPr>
          <w:rFonts w:ascii="Calibri" w:hAnsi="Calibri" w:eastAsia="宋体" w:cs="宋体"/>
          <w:color w:val="000000"/>
          <w:kern w:val="0"/>
          <w:szCs w:val="21"/>
        </w:rPr>
      </w:pPr>
      <w:r>
        <w:rPr>
          <w:rFonts w:hint="eastAsia" w:ascii="宋体" w:hAnsi="宋体" w:eastAsia="宋体" w:cs="宋体"/>
          <w:color w:val="21201E"/>
          <w:kern w:val="0"/>
          <w:sz w:val="28"/>
          <w:szCs w:val="28"/>
        </w:rPr>
        <w:t>2. 项目概况与招标范围</w:t>
      </w:r>
    </w:p>
    <w:p>
      <w:pPr>
        <w:widowControl/>
        <w:wordWrap w:val="0"/>
        <w:spacing w:line="540" w:lineRule="atLeast"/>
        <w:ind w:firstLine="560"/>
        <w:jc w:val="left"/>
        <w:rPr>
          <w:rFonts w:ascii="Calibri" w:hAnsi="Calibri" w:eastAsia="宋体" w:cs="宋体"/>
          <w:color w:val="000000"/>
          <w:kern w:val="0"/>
          <w:szCs w:val="21"/>
        </w:rPr>
      </w:pPr>
      <w:r>
        <w:rPr>
          <w:rFonts w:hint="eastAsia" w:ascii="宋体" w:hAnsi="宋体" w:eastAsia="宋体" w:cs="宋体"/>
          <w:color w:val="21201E"/>
          <w:kern w:val="0"/>
          <w:sz w:val="28"/>
          <w:szCs w:val="28"/>
        </w:rPr>
        <w:t>2.1招标人：</w:t>
      </w:r>
      <w:r>
        <w:rPr>
          <w:rFonts w:hint="eastAsia" w:ascii="宋体" w:hAnsi="宋体" w:eastAsia="宋体" w:cs="宋体"/>
          <w:color w:val="21201E"/>
          <w:kern w:val="0"/>
          <w:sz w:val="28"/>
          <w:szCs w:val="28"/>
          <w:u w:val="single"/>
        </w:rPr>
        <w:t>福建省泉州第一中学</w:t>
      </w:r>
      <w:r>
        <w:rPr>
          <w:rFonts w:hint="eastAsia" w:ascii="宋体" w:hAnsi="宋体" w:eastAsia="宋体" w:cs="宋体"/>
          <w:color w:val="21201E"/>
          <w:kern w:val="0"/>
          <w:sz w:val="28"/>
          <w:szCs w:val="28"/>
        </w:rPr>
        <w:t>  </w:t>
      </w:r>
    </w:p>
    <w:p>
      <w:pPr>
        <w:widowControl/>
        <w:wordWrap w:val="0"/>
        <w:spacing w:line="540" w:lineRule="atLeast"/>
        <w:ind w:firstLine="560"/>
        <w:jc w:val="left"/>
        <w:rPr>
          <w:rFonts w:ascii="Calibri" w:hAnsi="Calibri" w:eastAsia="宋体" w:cs="宋体"/>
          <w:color w:val="000000"/>
          <w:kern w:val="0"/>
          <w:szCs w:val="21"/>
        </w:rPr>
      </w:pPr>
      <w:r>
        <w:rPr>
          <w:rFonts w:hint="eastAsia" w:ascii="宋体" w:hAnsi="宋体" w:eastAsia="宋体" w:cs="宋体"/>
          <w:color w:val="21201E"/>
          <w:kern w:val="0"/>
          <w:sz w:val="28"/>
          <w:szCs w:val="28"/>
        </w:rPr>
        <w:t>2.2项目名称：</w:t>
      </w:r>
      <w:r>
        <w:rPr>
          <w:rFonts w:hint="eastAsia" w:ascii="宋体" w:hAnsi="宋体" w:eastAsia="宋体" w:cs="宋体"/>
          <w:color w:val="21201E"/>
          <w:kern w:val="0"/>
          <w:sz w:val="28"/>
          <w:szCs w:val="28"/>
          <w:u w:val="single"/>
        </w:rPr>
        <w:t>福建省泉州第一中学东海校区教室门、学生公寓宿舍门项目</w:t>
      </w:r>
    </w:p>
    <w:p>
      <w:pPr>
        <w:widowControl/>
        <w:wordWrap w:val="0"/>
        <w:spacing w:line="540" w:lineRule="atLeast"/>
        <w:ind w:firstLine="560"/>
        <w:jc w:val="left"/>
        <w:rPr>
          <w:rFonts w:ascii="Calibri" w:hAnsi="Calibri" w:eastAsia="宋体" w:cs="宋体"/>
          <w:color w:val="000000"/>
          <w:kern w:val="0"/>
          <w:szCs w:val="21"/>
        </w:rPr>
      </w:pPr>
      <w:r>
        <w:rPr>
          <w:rFonts w:hint="eastAsia" w:ascii="宋体" w:hAnsi="宋体" w:eastAsia="宋体" w:cs="宋体"/>
          <w:color w:val="21201E"/>
          <w:kern w:val="0"/>
          <w:sz w:val="28"/>
          <w:szCs w:val="28"/>
        </w:rPr>
        <w:t>2.3项目实施地点：</w:t>
      </w:r>
      <w:r>
        <w:rPr>
          <w:rFonts w:hint="eastAsia" w:ascii="宋体" w:hAnsi="宋体" w:eastAsia="宋体" w:cs="宋体"/>
          <w:color w:val="21201E"/>
          <w:kern w:val="0"/>
          <w:sz w:val="28"/>
          <w:szCs w:val="28"/>
          <w:u w:val="single"/>
          <w:lang w:eastAsia="zh-CN"/>
        </w:rPr>
        <w:t>福建省</w:t>
      </w:r>
      <w:r>
        <w:rPr>
          <w:rFonts w:hint="eastAsia" w:ascii="宋体" w:hAnsi="宋体" w:eastAsia="宋体" w:cs="宋体"/>
          <w:color w:val="21201E"/>
          <w:kern w:val="0"/>
          <w:sz w:val="28"/>
          <w:szCs w:val="28"/>
          <w:u w:val="single"/>
        </w:rPr>
        <w:t>泉州第一中学东海校区</w:t>
      </w:r>
    </w:p>
    <w:p>
      <w:pPr>
        <w:widowControl/>
        <w:wordWrap w:val="0"/>
        <w:spacing w:line="540" w:lineRule="atLeast"/>
        <w:ind w:firstLine="560"/>
        <w:jc w:val="left"/>
        <w:rPr>
          <w:rFonts w:ascii="Calibri" w:hAnsi="Calibri" w:eastAsia="宋体" w:cs="宋体"/>
          <w:color w:val="000000"/>
          <w:kern w:val="0"/>
          <w:szCs w:val="21"/>
        </w:rPr>
      </w:pPr>
      <w:r>
        <w:rPr>
          <w:rFonts w:hint="eastAsia" w:ascii="宋体" w:hAnsi="宋体" w:eastAsia="宋体" w:cs="宋体"/>
          <w:color w:val="21201E"/>
          <w:kern w:val="0"/>
          <w:sz w:val="28"/>
          <w:szCs w:val="28"/>
        </w:rPr>
        <w:t>2.4项目内容：见附件</w:t>
      </w:r>
    </w:p>
    <w:p>
      <w:pPr>
        <w:widowControl/>
        <w:wordWrap w:val="0"/>
        <w:spacing w:line="540" w:lineRule="atLeast"/>
        <w:ind w:firstLine="560"/>
        <w:jc w:val="left"/>
        <w:rPr>
          <w:rFonts w:ascii="Calibri" w:hAnsi="Calibri" w:eastAsia="宋体" w:cs="宋体"/>
          <w:color w:val="000000"/>
          <w:kern w:val="0"/>
          <w:szCs w:val="21"/>
        </w:rPr>
      </w:pPr>
      <w:r>
        <w:rPr>
          <w:rFonts w:hint="eastAsia" w:ascii="宋体" w:hAnsi="宋体" w:eastAsia="宋体" w:cs="宋体"/>
          <w:color w:val="21201E"/>
          <w:kern w:val="0"/>
          <w:sz w:val="28"/>
          <w:szCs w:val="28"/>
        </w:rPr>
        <w:t>2.5项目最高控制价：</w:t>
      </w:r>
      <w:r>
        <w:rPr>
          <w:rFonts w:hint="eastAsia" w:ascii="宋体" w:hAnsi="宋体" w:eastAsia="宋体" w:cs="宋体"/>
          <w:color w:val="21201E"/>
          <w:kern w:val="0"/>
          <w:sz w:val="28"/>
          <w:szCs w:val="28"/>
          <w:u w:val="single"/>
        </w:rPr>
        <w:t>9万元</w:t>
      </w:r>
    </w:p>
    <w:p>
      <w:pPr>
        <w:widowControl/>
        <w:wordWrap w:val="0"/>
        <w:spacing w:line="540" w:lineRule="atLeast"/>
        <w:ind w:firstLine="560"/>
        <w:jc w:val="left"/>
        <w:rPr>
          <w:rFonts w:ascii="Calibri" w:hAnsi="Calibri" w:eastAsia="宋体" w:cs="宋体"/>
          <w:color w:val="000000"/>
          <w:kern w:val="0"/>
          <w:szCs w:val="21"/>
        </w:rPr>
      </w:pPr>
      <w:r>
        <w:rPr>
          <w:rFonts w:hint="eastAsia" w:ascii="宋体" w:hAnsi="宋体" w:eastAsia="宋体" w:cs="宋体"/>
          <w:color w:val="21201E"/>
          <w:kern w:val="0"/>
          <w:sz w:val="28"/>
          <w:szCs w:val="28"/>
        </w:rPr>
        <w:t>2.6供货时间：</w:t>
      </w:r>
      <w:r>
        <w:rPr>
          <w:rFonts w:hint="eastAsia" w:ascii="宋体" w:hAnsi="宋体" w:eastAsia="宋体" w:cs="宋体"/>
          <w:color w:val="21201E"/>
          <w:kern w:val="0"/>
          <w:sz w:val="28"/>
          <w:szCs w:val="28"/>
          <w:u w:val="single"/>
        </w:rPr>
        <w:t>20天</w:t>
      </w:r>
      <w:r>
        <w:rPr>
          <w:rFonts w:hint="eastAsia" w:ascii="宋体" w:hAnsi="宋体" w:eastAsia="宋体" w:cs="宋体"/>
          <w:color w:val="21201E"/>
          <w:kern w:val="0"/>
          <w:sz w:val="28"/>
          <w:szCs w:val="28"/>
        </w:rPr>
        <w:t>。</w:t>
      </w:r>
    </w:p>
    <w:p>
      <w:pPr>
        <w:widowControl/>
        <w:wordWrap w:val="0"/>
        <w:spacing w:line="540" w:lineRule="atLeast"/>
        <w:jc w:val="left"/>
        <w:rPr>
          <w:rFonts w:ascii="Calibri" w:hAnsi="Calibri" w:eastAsia="宋体" w:cs="宋体"/>
          <w:color w:val="000000"/>
          <w:kern w:val="0"/>
          <w:szCs w:val="21"/>
        </w:rPr>
      </w:pPr>
      <w:r>
        <w:rPr>
          <w:rFonts w:hint="eastAsia" w:ascii="宋体" w:hAnsi="宋体" w:eastAsia="宋体" w:cs="宋体"/>
          <w:color w:val="21201E"/>
          <w:kern w:val="0"/>
          <w:sz w:val="28"/>
          <w:szCs w:val="28"/>
        </w:rPr>
        <w:t>3. 评标办法</w:t>
      </w:r>
    </w:p>
    <w:p>
      <w:pPr>
        <w:widowControl/>
        <w:wordWrap w:val="0"/>
        <w:spacing w:line="540" w:lineRule="atLeast"/>
        <w:ind w:firstLine="560"/>
        <w:jc w:val="left"/>
        <w:rPr>
          <w:rFonts w:ascii="Calibri" w:hAnsi="Calibri" w:eastAsia="宋体" w:cs="宋体"/>
          <w:color w:val="000000"/>
          <w:kern w:val="0"/>
          <w:szCs w:val="21"/>
        </w:rPr>
      </w:pPr>
      <w:r>
        <w:rPr>
          <w:rFonts w:hint="eastAsia" w:ascii="宋体" w:hAnsi="宋体" w:eastAsia="宋体" w:cs="宋体"/>
          <w:color w:val="21201E"/>
          <w:kern w:val="0"/>
          <w:sz w:val="28"/>
          <w:szCs w:val="28"/>
        </w:rPr>
        <w:t>3.1投标人资格：</w:t>
      </w:r>
      <w:r>
        <w:rPr>
          <w:rFonts w:hint="eastAsia" w:ascii="宋体" w:hAnsi="宋体" w:eastAsia="宋体" w:cs="宋体"/>
          <w:color w:val="000000"/>
          <w:kern w:val="0"/>
          <w:sz w:val="28"/>
          <w:szCs w:val="28"/>
        </w:rPr>
        <w:t>本招标项目要求投标人须具备有效的建材经营资质或门窗生产资质。</w:t>
      </w:r>
    </w:p>
    <w:p>
      <w:pPr>
        <w:widowControl/>
        <w:wordWrap w:val="0"/>
        <w:spacing w:line="540" w:lineRule="atLeast"/>
        <w:ind w:firstLine="560"/>
        <w:jc w:val="left"/>
        <w:rPr>
          <w:rFonts w:ascii="Calibri" w:hAnsi="Calibri" w:eastAsia="宋体" w:cs="宋体"/>
          <w:color w:val="000000"/>
          <w:kern w:val="0"/>
          <w:szCs w:val="21"/>
        </w:rPr>
      </w:pPr>
      <w:r>
        <w:rPr>
          <w:rFonts w:hint="eastAsia" w:ascii="宋体" w:hAnsi="宋体" w:eastAsia="宋体" w:cs="宋体"/>
          <w:color w:val="21201E"/>
          <w:kern w:val="0"/>
          <w:sz w:val="28"/>
          <w:szCs w:val="28"/>
        </w:rPr>
        <w:t>3.2经评审项目总价最低价方式确定中标候选人。</w:t>
      </w:r>
      <w:r>
        <w:rPr>
          <w:rFonts w:ascii="Calibri" w:hAnsi="Calibri" w:eastAsia="宋体" w:cs="宋体"/>
          <w:color w:val="21201E"/>
          <w:kern w:val="0"/>
          <w:sz w:val="28"/>
          <w:szCs w:val="28"/>
        </w:rPr>
        <w:t>  </w:t>
      </w:r>
    </w:p>
    <w:p>
      <w:pPr>
        <w:widowControl/>
        <w:wordWrap w:val="0"/>
        <w:spacing w:line="540" w:lineRule="atLeast"/>
        <w:jc w:val="left"/>
        <w:rPr>
          <w:rFonts w:ascii="Calibri" w:hAnsi="Calibri" w:eastAsia="宋体" w:cs="宋体"/>
          <w:color w:val="000000"/>
          <w:kern w:val="0"/>
          <w:szCs w:val="21"/>
        </w:rPr>
      </w:pPr>
      <w:r>
        <w:rPr>
          <w:rFonts w:hint="eastAsia" w:ascii="宋体" w:hAnsi="宋体" w:eastAsia="宋体" w:cs="宋体"/>
          <w:color w:val="21201E"/>
          <w:kern w:val="0"/>
          <w:sz w:val="28"/>
          <w:szCs w:val="28"/>
        </w:rPr>
        <w:t>4. 投标文件的递交及开标</w:t>
      </w:r>
    </w:p>
    <w:p>
      <w:pPr>
        <w:widowControl/>
        <w:wordWrap w:val="0"/>
        <w:spacing w:line="540" w:lineRule="atLeast"/>
        <w:ind w:firstLine="560"/>
        <w:jc w:val="left"/>
        <w:rPr>
          <w:rFonts w:ascii="Calibri" w:hAnsi="Calibri" w:eastAsia="宋体" w:cs="宋体"/>
          <w:color w:val="000000"/>
          <w:kern w:val="0"/>
          <w:szCs w:val="21"/>
        </w:rPr>
      </w:pPr>
      <w:r>
        <w:rPr>
          <w:rFonts w:hint="eastAsia" w:ascii="宋体" w:hAnsi="宋体" w:eastAsia="宋体" w:cs="宋体"/>
          <w:color w:val="21201E"/>
          <w:kern w:val="0"/>
          <w:sz w:val="28"/>
          <w:szCs w:val="28"/>
        </w:rPr>
        <w:t>4.1投标文件递交的截止时间（即投标截止时间，下同）及开标时间为 2021年10月29日11时00分，地点为：东海校区9楼会议室。</w:t>
      </w:r>
    </w:p>
    <w:p>
      <w:pPr>
        <w:widowControl/>
        <w:wordWrap w:val="0"/>
        <w:spacing w:line="540" w:lineRule="atLeast"/>
        <w:ind w:firstLine="560"/>
        <w:jc w:val="left"/>
        <w:rPr>
          <w:rFonts w:ascii="Calibri" w:hAnsi="Calibri" w:eastAsia="宋体" w:cs="宋体"/>
          <w:color w:val="000000"/>
          <w:kern w:val="0"/>
          <w:szCs w:val="21"/>
        </w:rPr>
      </w:pPr>
      <w:r>
        <w:rPr>
          <w:rFonts w:hint="eastAsia" w:ascii="宋体" w:hAnsi="宋体" w:eastAsia="宋体" w:cs="宋体"/>
          <w:color w:val="21201E"/>
          <w:kern w:val="0"/>
          <w:sz w:val="28"/>
          <w:szCs w:val="28"/>
        </w:rPr>
        <w:t>4.2投标文件需包括：公司资质复印件，投标人报价及投标人委托书、现场勘察证明（以上资料均需加盖公章）。逾期送达或者未送达指定地点或者未按要求密封或者加写标记的投标文件招标人不予受理。</w:t>
      </w:r>
    </w:p>
    <w:p>
      <w:pPr>
        <w:widowControl/>
        <w:wordWrap w:val="0"/>
        <w:spacing w:line="540" w:lineRule="atLeast"/>
        <w:ind w:firstLine="560"/>
        <w:jc w:val="left"/>
        <w:rPr>
          <w:rFonts w:ascii="Calibri" w:hAnsi="Calibri" w:eastAsia="宋体" w:cs="宋体"/>
          <w:color w:val="000000"/>
          <w:kern w:val="0"/>
          <w:szCs w:val="21"/>
        </w:rPr>
      </w:pPr>
      <w:r>
        <w:rPr>
          <w:rFonts w:hint="eastAsia" w:ascii="宋体" w:hAnsi="宋体" w:eastAsia="宋体" w:cs="宋体"/>
          <w:color w:val="21201E"/>
          <w:kern w:val="0"/>
          <w:sz w:val="28"/>
          <w:szCs w:val="28"/>
        </w:rPr>
        <w:t>4.3现场勘察时间：2021年10月27日8时30分至9时。</w:t>
      </w:r>
    </w:p>
    <w:p>
      <w:pPr>
        <w:widowControl/>
        <w:wordWrap w:val="0"/>
        <w:spacing w:line="540" w:lineRule="atLeast"/>
        <w:jc w:val="left"/>
        <w:rPr>
          <w:rFonts w:ascii="Calibri" w:hAnsi="Calibri" w:eastAsia="宋体" w:cs="宋体"/>
          <w:color w:val="000000"/>
          <w:kern w:val="0"/>
          <w:szCs w:val="21"/>
        </w:rPr>
      </w:pPr>
      <w:r>
        <w:rPr>
          <w:rFonts w:hint="eastAsia" w:ascii="宋体" w:hAnsi="宋体" w:eastAsia="宋体" w:cs="宋体"/>
          <w:color w:val="21201E"/>
          <w:kern w:val="0"/>
          <w:sz w:val="28"/>
          <w:szCs w:val="28"/>
        </w:rPr>
        <w:t>5. 联系方式</w:t>
      </w:r>
      <w:r>
        <w:rPr>
          <w:rFonts w:ascii="Calibri" w:hAnsi="Calibri" w:eastAsia="宋体" w:cs="宋体"/>
          <w:color w:val="21201E"/>
          <w:kern w:val="0"/>
          <w:sz w:val="28"/>
          <w:szCs w:val="28"/>
        </w:rPr>
        <w:t>     </w:t>
      </w:r>
      <w:r>
        <w:rPr>
          <w:rFonts w:hint="eastAsia" w:ascii="宋体" w:hAnsi="宋体" w:eastAsia="宋体" w:cs="宋体"/>
          <w:color w:val="21201E"/>
          <w:kern w:val="0"/>
          <w:sz w:val="28"/>
          <w:szCs w:val="28"/>
        </w:rPr>
        <w:t>    </w:t>
      </w:r>
    </w:p>
    <w:p>
      <w:pPr>
        <w:widowControl/>
        <w:wordWrap w:val="0"/>
        <w:spacing w:line="540" w:lineRule="atLeast"/>
        <w:ind w:firstLine="560"/>
        <w:jc w:val="left"/>
        <w:rPr>
          <w:rFonts w:ascii="Calibri" w:hAnsi="Calibri" w:eastAsia="宋体" w:cs="宋体"/>
          <w:color w:val="000000"/>
          <w:kern w:val="0"/>
          <w:szCs w:val="21"/>
        </w:rPr>
      </w:pPr>
      <w:r>
        <w:rPr>
          <w:rFonts w:hint="eastAsia" w:ascii="宋体" w:hAnsi="宋体" w:eastAsia="宋体" w:cs="宋体"/>
          <w:color w:val="21201E"/>
          <w:kern w:val="0"/>
          <w:sz w:val="28"/>
          <w:szCs w:val="28"/>
        </w:rPr>
        <w:t>联系人：蔡老师</w:t>
      </w:r>
      <w:r>
        <w:rPr>
          <w:rFonts w:ascii="Calibri" w:hAnsi="Calibri" w:eastAsia="宋体" w:cs="宋体"/>
          <w:color w:val="21201E"/>
          <w:kern w:val="0"/>
          <w:sz w:val="28"/>
          <w:szCs w:val="28"/>
        </w:rPr>
        <w:t> </w:t>
      </w:r>
      <w:r>
        <w:rPr>
          <w:rFonts w:hint="eastAsia" w:ascii="宋体" w:hAnsi="宋体" w:eastAsia="宋体" w:cs="宋体"/>
          <w:color w:val="21201E"/>
          <w:kern w:val="0"/>
          <w:sz w:val="28"/>
          <w:szCs w:val="28"/>
        </w:rPr>
        <w:t>18159278798 </w:t>
      </w:r>
    </w:p>
    <w:p>
      <w:pPr>
        <w:widowControl/>
        <w:jc w:val="left"/>
        <w:rPr>
          <w:rFonts w:ascii="Calibri" w:hAnsi="Calibri" w:eastAsia="宋体" w:cs="宋体"/>
          <w:color w:val="000000"/>
          <w:kern w:val="0"/>
          <w:szCs w:val="21"/>
        </w:rPr>
      </w:pPr>
      <w:r>
        <w:rPr>
          <w:rFonts w:ascii="Calibri" w:hAnsi="Calibri" w:eastAsia="宋体" w:cs="宋体"/>
          <w:b/>
          <w:bCs/>
          <w:color w:val="000000"/>
          <w:kern w:val="0"/>
          <w:sz w:val="36"/>
          <w:szCs w:val="36"/>
        </w:rPr>
        <w:t> </w:t>
      </w:r>
    </w:p>
    <w:p>
      <w:pPr>
        <w:widowControl/>
        <w:jc w:val="left"/>
        <w:rPr>
          <w:rFonts w:ascii="Calibri" w:hAnsi="Calibri" w:eastAsia="宋体" w:cs="宋体"/>
          <w:b/>
          <w:bCs/>
          <w:color w:val="000000"/>
          <w:kern w:val="0"/>
          <w:sz w:val="36"/>
          <w:szCs w:val="36"/>
        </w:rPr>
      </w:pPr>
    </w:p>
    <w:p>
      <w:pPr>
        <w:widowControl/>
        <w:jc w:val="left"/>
        <w:rPr>
          <w:rFonts w:ascii="Calibri" w:hAnsi="Calibri" w:eastAsia="宋体" w:cs="宋体"/>
          <w:color w:val="000000"/>
          <w:kern w:val="0"/>
          <w:szCs w:val="21"/>
        </w:rPr>
      </w:pPr>
      <w:r>
        <w:rPr>
          <w:rFonts w:ascii="Calibri" w:hAnsi="Calibri" w:eastAsia="宋体" w:cs="宋体"/>
          <w:b/>
          <w:bCs/>
          <w:color w:val="000000"/>
          <w:kern w:val="0"/>
          <w:sz w:val="36"/>
          <w:szCs w:val="36"/>
        </w:rPr>
        <w:t> </w:t>
      </w:r>
    </w:p>
    <w:p>
      <w:pPr>
        <w:widowControl/>
        <w:jc w:val="right"/>
        <w:rPr>
          <w:rFonts w:ascii="Calibri" w:hAnsi="Calibri" w:eastAsia="宋体" w:cs="宋体"/>
          <w:color w:val="000000"/>
          <w:kern w:val="0"/>
          <w:szCs w:val="21"/>
        </w:rPr>
      </w:pPr>
      <w:r>
        <w:rPr>
          <w:rFonts w:ascii="Calibri" w:hAnsi="Calibri" w:eastAsia="宋体" w:cs="宋体"/>
          <w:color w:val="000000"/>
          <w:kern w:val="0"/>
          <w:sz w:val="28"/>
          <w:szCs w:val="28"/>
        </w:rPr>
        <w:t xml:space="preserve">                                 </w:t>
      </w:r>
      <w:r>
        <w:rPr>
          <w:rFonts w:hint="eastAsia" w:ascii="Calibri" w:hAnsi="Calibri" w:eastAsia="宋体" w:cs="宋体"/>
          <w:color w:val="000000"/>
          <w:kern w:val="0"/>
          <w:sz w:val="28"/>
          <w:szCs w:val="28"/>
          <w:lang w:val="en-US" w:eastAsia="zh-CN"/>
        </w:rPr>
        <w:t xml:space="preserve">          </w:t>
      </w:r>
      <w:r>
        <w:rPr>
          <w:rFonts w:ascii="Calibri" w:hAnsi="Calibri" w:eastAsia="宋体" w:cs="宋体"/>
          <w:color w:val="000000"/>
          <w:kern w:val="0"/>
          <w:sz w:val="28"/>
          <w:szCs w:val="28"/>
        </w:rPr>
        <w:t> </w:t>
      </w:r>
      <w:r>
        <w:rPr>
          <w:rFonts w:hint="eastAsia" w:ascii="宋体" w:hAnsi="宋体" w:eastAsia="宋体" w:cs="宋体"/>
          <w:color w:val="000000"/>
          <w:kern w:val="0"/>
          <w:sz w:val="28"/>
          <w:szCs w:val="28"/>
        </w:rPr>
        <w:t>福建省泉州第一中学招标领导小组</w:t>
      </w:r>
    </w:p>
    <w:p>
      <w:pPr>
        <w:widowControl/>
        <w:ind w:firstLine="3640"/>
        <w:jc w:val="right"/>
        <w:rPr>
          <w:rFonts w:ascii="Calibri" w:hAnsi="Calibri" w:eastAsia="宋体" w:cs="宋体"/>
          <w:color w:val="000000"/>
          <w:kern w:val="0"/>
          <w:szCs w:val="21"/>
        </w:rPr>
      </w:pPr>
      <w:r>
        <w:rPr>
          <w:rFonts w:ascii="Calibri" w:hAnsi="Calibri" w:eastAsia="宋体" w:cs="宋体"/>
          <w:color w:val="000000"/>
          <w:kern w:val="0"/>
          <w:sz w:val="28"/>
          <w:szCs w:val="28"/>
        </w:rPr>
        <w:t xml:space="preserve">      </w:t>
      </w:r>
      <w:r>
        <w:rPr>
          <w:rFonts w:hint="eastAsia" w:ascii="Calibri" w:hAnsi="Calibri" w:eastAsia="宋体" w:cs="宋体"/>
          <w:color w:val="000000"/>
          <w:kern w:val="0"/>
          <w:sz w:val="28"/>
          <w:szCs w:val="28"/>
          <w:lang w:val="en-US" w:eastAsia="zh-CN"/>
        </w:rPr>
        <w:t xml:space="preserve">     </w:t>
      </w:r>
      <w:r>
        <w:rPr>
          <w:rFonts w:ascii="Calibri" w:hAnsi="Calibri" w:eastAsia="宋体" w:cs="宋体"/>
          <w:color w:val="000000"/>
          <w:kern w:val="0"/>
          <w:sz w:val="28"/>
          <w:szCs w:val="28"/>
        </w:rPr>
        <w:t>2021</w:t>
      </w:r>
      <w:r>
        <w:rPr>
          <w:rFonts w:hint="eastAsia" w:ascii="宋体" w:hAnsi="宋体" w:eastAsia="宋体" w:cs="宋体"/>
          <w:color w:val="000000"/>
          <w:kern w:val="0"/>
          <w:sz w:val="28"/>
          <w:szCs w:val="28"/>
        </w:rPr>
        <w:t>年</w:t>
      </w:r>
      <w:r>
        <w:rPr>
          <w:rFonts w:hint="eastAsia" w:ascii="Calibri" w:hAnsi="Calibri" w:eastAsia="宋体" w:cs="宋体"/>
          <w:color w:val="000000"/>
          <w:kern w:val="0"/>
          <w:sz w:val="28"/>
          <w:szCs w:val="28"/>
          <w:lang w:val="en-US" w:eastAsia="zh-CN"/>
        </w:rPr>
        <w:t>10</w:t>
      </w:r>
      <w:r>
        <w:rPr>
          <w:rFonts w:hint="eastAsia" w:ascii="宋体" w:hAnsi="宋体" w:eastAsia="宋体" w:cs="宋体"/>
          <w:color w:val="000000"/>
          <w:kern w:val="0"/>
          <w:sz w:val="28"/>
          <w:szCs w:val="28"/>
        </w:rPr>
        <w:t>月</w:t>
      </w:r>
      <w:r>
        <w:rPr>
          <w:rFonts w:hint="eastAsia" w:ascii="Calibri" w:hAnsi="Calibri" w:eastAsia="宋体" w:cs="宋体"/>
          <w:color w:val="000000"/>
          <w:kern w:val="0"/>
          <w:sz w:val="28"/>
          <w:szCs w:val="28"/>
        </w:rPr>
        <w:t>26</w:t>
      </w:r>
      <w:r>
        <w:rPr>
          <w:rFonts w:hint="eastAsia" w:ascii="宋体" w:hAnsi="宋体" w:eastAsia="宋体" w:cs="宋体"/>
          <w:color w:val="000000"/>
          <w:kern w:val="0"/>
          <w:sz w:val="28"/>
          <w:szCs w:val="28"/>
        </w:rPr>
        <w:t>日</w:t>
      </w:r>
    </w:p>
    <w:p>
      <w:pPr>
        <w:widowControl/>
        <w:ind w:firstLine="3640"/>
        <w:jc w:val="left"/>
        <w:rPr>
          <w:rFonts w:ascii="Calibri" w:hAnsi="Calibri" w:eastAsia="宋体" w:cs="宋体"/>
          <w:color w:val="000000"/>
          <w:kern w:val="0"/>
          <w:szCs w:val="21"/>
        </w:rPr>
      </w:pPr>
      <w:r>
        <w:rPr>
          <w:rFonts w:hint="eastAsia" w:ascii="宋体" w:hAnsi="宋体" w:eastAsia="宋体" w:cs="宋体"/>
          <w:color w:val="000000"/>
          <w:kern w:val="0"/>
          <w:sz w:val="28"/>
          <w:szCs w:val="28"/>
        </w:rPr>
        <w:t> </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widowControl/>
        <w:rPr>
          <w:rFonts w:hint="eastAsia" w:ascii="Calibri" w:hAnsi="Calibri" w:eastAsia="宋体" w:cs="宋体"/>
          <w:color w:val="000000"/>
          <w:kern w:val="0"/>
          <w:szCs w:val="21"/>
          <w:lang w:eastAsia="zh-CN"/>
        </w:rPr>
      </w:pPr>
      <w:r>
        <w:rPr>
          <w:rFonts w:hint="eastAsia" w:ascii="宋体" w:hAnsi="宋体" w:eastAsia="宋体" w:cs="宋体"/>
          <w:b/>
          <w:bCs/>
          <w:color w:val="000000"/>
          <w:kern w:val="0"/>
          <w:sz w:val="28"/>
          <w:szCs w:val="28"/>
        </w:rPr>
        <w:t>附件</w:t>
      </w:r>
      <w:r>
        <w:rPr>
          <w:rFonts w:hint="eastAsia" w:ascii="Calibri" w:hAnsi="Calibri" w:eastAsia="宋体" w:cs="宋体"/>
          <w:b/>
          <w:bCs/>
          <w:color w:val="000000"/>
          <w:kern w:val="0"/>
          <w:sz w:val="28"/>
          <w:szCs w:val="28"/>
          <w:lang w:val="en-US" w:eastAsia="zh-CN"/>
        </w:rPr>
        <w:t>1</w:t>
      </w:r>
    </w:p>
    <w:p>
      <w:pPr>
        <w:widowControl/>
        <w:rPr>
          <w:rFonts w:hint="eastAsia" w:ascii="宋体" w:hAnsi="宋体" w:eastAsia="宋体" w:cs="宋体"/>
          <w:color w:val="000000"/>
          <w:kern w:val="0"/>
          <w:sz w:val="28"/>
          <w:szCs w:val="28"/>
        </w:rPr>
      </w:pPr>
    </w:p>
    <w:tbl>
      <w:tblPr>
        <w:tblStyle w:val="2"/>
        <w:tblW w:w="7260" w:type="dxa"/>
        <w:tblInd w:w="93" w:type="dxa"/>
        <w:tblLayout w:type="fixed"/>
        <w:tblCellMar>
          <w:top w:w="0" w:type="dxa"/>
          <w:left w:w="108" w:type="dxa"/>
          <w:bottom w:w="0" w:type="dxa"/>
          <w:right w:w="108" w:type="dxa"/>
        </w:tblCellMar>
      </w:tblPr>
      <w:tblGrid>
        <w:gridCol w:w="484"/>
        <w:gridCol w:w="2231"/>
        <w:gridCol w:w="3143"/>
        <w:gridCol w:w="702"/>
        <w:gridCol w:w="700"/>
      </w:tblGrid>
      <w:tr>
        <w:tblPrEx>
          <w:tblCellMar>
            <w:top w:w="0" w:type="dxa"/>
            <w:left w:w="108" w:type="dxa"/>
            <w:bottom w:w="0" w:type="dxa"/>
            <w:right w:w="108" w:type="dxa"/>
          </w:tblCellMar>
        </w:tblPrEx>
        <w:trPr>
          <w:trHeight w:val="292" w:hRule="atLeast"/>
        </w:trPr>
        <w:tc>
          <w:tcPr>
            <w:tcW w:w="7260" w:type="dxa"/>
            <w:gridSpan w:val="5"/>
            <w:tcBorders>
              <w:top w:val="nil"/>
              <w:left w:val="nil"/>
              <w:bottom w:val="nil"/>
              <w:right w:val="nil"/>
            </w:tcBorders>
            <w:shd w:val="clear" w:color="auto" w:fill="auto"/>
            <w:noWrap/>
            <w:vAlign w:val="center"/>
          </w:tcPr>
          <w:p>
            <w:pPr>
              <w:jc w:val="center"/>
              <w:rPr>
                <w:rFonts w:ascii="宋体" w:hAnsi="宋体" w:eastAsia="宋体" w:cs="宋体"/>
                <w:b/>
                <w:bCs/>
                <w:color w:val="000000"/>
                <w:sz w:val="40"/>
                <w:szCs w:val="40"/>
              </w:rPr>
            </w:pPr>
            <w:r>
              <w:rPr>
                <w:rFonts w:hint="eastAsia"/>
                <w:b/>
                <w:bCs/>
                <w:color w:val="000000"/>
                <w:sz w:val="40"/>
                <w:szCs w:val="40"/>
              </w:rPr>
              <w:t>福建省泉州市第一中学</w:t>
            </w:r>
          </w:p>
        </w:tc>
      </w:tr>
      <w:tr>
        <w:tblPrEx>
          <w:tblCellMar>
            <w:top w:w="0" w:type="dxa"/>
            <w:left w:w="108" w:type="dxa"/>
            <w:bottom w:w="0" w:type="dxa"/>
            <w:right w:w="108" w:type="dxa"/>
          </w:tblCellMar>
        </w:tblPrEx>
        <w:trPr>
          <w:trHeight w:val="233" w:hRule="atLeast"/>
        </w:trPr>
        <w:tc>
          <w:tcPr>
            <w:tcW w:w="726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32"/>
                <w:szCs w:val="32"/>
              </w:rPr>
            </w:pPr>
            <w:r>
              <w:rPr>
                <w:rFonts w:hint="eastAsia"/>
                <w:color w:val="000000"/>
                <w:sz w:val="32"/>
                <w:szCs w:val="32"/>
              </w:rPr>
              <w:t>学生公寓宿舍门和教学楼教室门数量、参数及要求</w:t>
            </w:r>
          </w:p>
        </w:tc>
      </w:tr>
      <w:tr>
        <w:tblPrEx>
          <w:tblCellMar>
            <w:top w:w="0" w:type="dxa"/>
            <w:left w:w="108" w:type="dxa"/>
            <w:bottom w:w="0" w:type="dxa"/>
            <w:right w:w="108" w:type="dxa"/>
          </w:tblCellMar>
        </w:tblPrEx>
        <w:trPr>
          <w:trHeight w:val="259" w:hRule="atLeast"/>
        </w:trPr>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序号</w:t>
            </w:r>
          </w:p>
        </w:tc>
        <w:tc>
          <w:tcPr>
            <w:tcW w:w="2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品名</w:t>
            </w:r>
          </w:p>
        </w:tc>
        <w:tc>
          <w:tcPr>
            <w:tcW w:w="3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规格(单位：mm)</w:t>
            </w:r>
          </w:p>
        </w:tc>
        <w:tc>
          <w:tcPr>
            <w:tcW w:w="7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数</w:t>
            </w:r>
            <w:r>
              <w:rPr>
                <w:rFonts w:hint="eastAsia"/>
                <w:color w:val="000000"/>
                <w:sz w:val="22"/>
              </w:rPr>
              <w:br w:type="textWrapping"/>
            </w:r>
            <w:r>
              <w:rPr>
                <w:rFonts w:hint="eastAsia"/>
                <w:color w:val="000000"/>
                <w:sz w:val="22"/>
              </w:rPr>
              <w:t>量</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单</w:t>
            </w:r>
            <w:r>
              <w:rPr>
                <w:rFonts w:hint="eastAsia"/>
                <w:color w:val="000000"/>
                <w:sz w:val="22"/>
              </w:rPr>
              <w:br w:type="textWrapping"/>
            </w:r>
            <w:r>
              <w:rPr>
                <w:rFonts w:hint="eastAsia"/>
                <w:color w:val="000000"/>
                <w:sz w:val="22"/>
              </w:rPr>
              <w:t>位</w:t>
            </w:r>
          </w:p>
        </w:tc>
      </w:tr>
      <w:tr>
        <w:tblPrEx>
          <w:tblCellMar>
            <w:top w:w="0" w:type="dxa"/>
            <w:left w:w="108" w:type="dxa"/>
            <w:bottom w:w="0" w:type="dxa"/>
            <w:right w:w="108" w:type="dxa"/>
          </w:tblCellMar>
        </w:tblPrEx>
        <w:trPr>
          <w:trHeight w:val="598" w:hRule="atLeast"/>
        </w:trPr>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1</w:t>
            </w:r>
          </w:p>
        </w:tc>
        <w:tc>
          <w:tcPr>
            <w:tcW w:w="2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钢质复合门(带观察口)</w:t>
            </w:r>
          </w:p>
        </w:tc>
        <w:tc>
          <w:tcPr>
            <w:tcW w:w="3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高2260mm，宽880mm，门扇成型厚度50mm，颜色为深蓝色，观察口规格200*550mm，采用厚度5厘优质钢化玻璃外加防护框</w:t>
            </w:r>
          </w:p>
        </w:tc>
        <w:tc>
          <w:tcPr>
            <w:tcW w:w="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ascii="宋体" w:hAnsi="宋体" w:eastAsia="宋体" w:cs="宋体"/>
                <w:color w:val="000000"/>
                <w:sz w:val="22"/>
              </w:rPr>
              <w:t>43</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樘</w:t>
            </w:r>
          </w:p>
        </w:tc>
      </w:tr>
      <w:tr>
        <w:tblPrEx>
          <w:tblCellMar>
            <w:top w:w="0" w:type="dxa"/>
            <w:left w:w="108" w:type="dxa"/>
            <w:bottom w:w="0" w:type="dxa"/>
            <w:right w:w="108" w:type="dxa"/>
          </w:tblCellMar>
        </w:tblPrEx>
        <w:trPr>
          <w:trHeight w:val="552" w:hRule="atLeast"/>
        </w:trPr>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2</w:t>
            </w:r>
          </w:p>
        </w:tc>
        <w:tc>
          <w:tcPr>
            <w:tcW w:w="2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钢质复合门(带观察口)</w:t>
            </w:r>
          </w:p>
        </w:tc>
        <w:tc>
          <w:tcPr>
            <w:tcW w:w="3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高2090mm，宽880mm，门扇成型厚度50mm，颜色为深蓝色，观察口规格200*550mm，采用厚度5厘优质钢化玻璃外加防护框</w:t>
            </w:r>
          </w:p>
        </w:tc>
        <w:tc>
          <w:tcPr>
            <w:tcW w:w="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ascii="宋体" w:hAnsi="宋体" w:eastAsia="宋体" w:cs="宋体"/>
                <w:color w:val="000000"/>
                <w:sz w:val="22"/>
              </w:rPr>
              <w:t>35</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樘</w:t>
            </w:r>
          </w:p>
        </w:tc>
      </w:tr>
      <w:tr>
        <w:tblPrEx>
          <w:tblCellMar>
            <w:top w:w="0" w:type="dxa"/>
            <w:left w:w="108" w:type="dxa"/>
            <w:bottom w:w="0" w:type="dxa"/>
            <w:right w:w="108" w:type="dxa"/>
          </w:tblCellMar>
        </w:tblPrEx>
        <w:trPr>
          <w:trHeight w:val="253" w:hRule="atLeast"/>
        </w:trPr>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3</w:t>
            </w:r>
          </w:p>
        </w:tc>
        <w:tc>
          <w:tcPr>
            <w:tcW w:w="2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门锁</w:t>
            </w:r>
          </w:p>
        </w:tc>
        <w:tc>
          <w:tcPr>
            <w:tcW w:w="3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通用锁具（送校方审核）</w:t>
            </w:r>
          </w:p>
        </w:tc>
        <w:tc>
          <w:tcPr>
            <w:tcW w:w="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ascii="宋体" w:hAnsi="宋体" w:eastAsia="宋体" w:cs="宋体"/>
                <w:color w:val="000000"/>
                <w:sz w:val="22"/>
              </w:rPr>
              <w:t>78</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套</w:t>
            </w:r>
          </w:p>
        </w:tc>
      </w:tr>
      <w:tr>
        <w:tblPrEx>
          <w:tblCellMar>
            <w:top w:w="0" w:type="dxa"/>
            <w:left w:w="108" w:type="dxa"/>
            <w:bottom w:w="0" w:type="dxa"/>
            <w:right w:w="108" w:type="dxa"/>
          </w:tblCellMar>
        </w:tblPrEx>
        <w:trPr>
          <w:trHeight w:val="233" w:hRule="atLeast"/>
        </w:trPr>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4</w:t>
            </w:r>
          </w:p>
        </w:tc>
        <w:tc>
          <w:tcPr>
            <w:tcW w:w="2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拆除旧门及搬运</w:t>
            </w:r>
          </w:p>
        </w:tc>
        <w:tc>
          <w:tcPr>
            <w:tcW w:w="3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从各层楼人工拆除旧门扇并堆放到指定地方</w:t>
            </w:r>
          </w:p>
        </w:tc>
        <w:tc>
          <w:tcPr>
            <w:tcW w:w="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ascii="宋体" w:hAnsi="宋体" w:eastAsia="宋体" w:cs="宋体"/>
                <w:color w:val="000000"/>
                <w:sz w:val="22"/>
              </w:rPr>
              <w:t>78</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樘</w:t>
            </w:r>
          </w:p>
        </w:tc>
      </w:tr>
      <w:tr>
        <w:tblPrEx>
          <w:tblCellMar>
            <w:top w:w="0" w:type="dxa"/>
            <w:left w:w="108" w:type="dxa"/>
            <w:bottom w:w="0" w:type="dxa"/>
            <w:right w:w="108" w:type="dxa"/>
          </w:tblCellMar>
        </w:tblPrEx>
        <w:trPr>
          <w:trHeight w:val="532" w:hRule="atLeast"/>
        </w:trPr>
        <w:tc>
          <w:tcPr>
            <w:tcW w:w="72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Style w:val="4"/>
                <w:rFonts w:hint="default"/>
              </w:rPr>
              <w:t>含运费，含安装及含税，质保期：非人为破坏三年质保。</w:t>
            </w:r>
            <w:r>
              <w:rPr>
                <w:rFonts w:hint="eastAsia"/>
                <w:color w:val="000000"/>
                <w:sz w:val="22"/>
              </w:rPr>
              <w:br w:type="textWrapping"/>
            </w:r>
            <w:r>
              <w:rPr>
                <w:rFonts w:hint="eastAsia"/>
                <w:color w:val="000000"/>
                <w:sz w:val="22"/>
              </w:rPr>
              <w:br w:type="textWrapping"/>
            </w:r>
          </w:p>
        </w:tc>
      </w:tr>
    </w:tbl>
    <w:p>
      <w:pPr>
        <w:widowControl/>
        <w:rPr>
          <w:rFonts w:ascii="Calibri" w:hAnsi="Calibri" w:eastAsia="宋体" w:cs="宋体"/>
          <w:color w:val="000000"/>
          <w:kern w:val="0"/>
          <w:szCs w:val="21"/>
        </w:rPr>
      </w:pPr>
      <w:r>
        <w:rPr>
          <w:rFonts w:ascii="Calibri" w:hAnsi="Calibri" w:eastAsia="宋体" w:cs="宋体"/>
          <w:color w:val="000000"/>
          <w:kern w:val="0"/>
          <w:szCs w:val="21"/>
        </w:rPr>
        <w:t> </w:t>
      </w:r>
    </w:p>
    <w:p>
      <w:pPr>
        <w:widowControl/>
        <w:rPr>
          <w:rFonts w:ascii="Calibri" w:hAnsi="Calibri" w:eastAsia="宋体" w:cs="宋体"/>
          <w:color w:val="000000"/>
          <w:kern w:val="0"/>
          <w:szCs w:val="21"/>
        </w:rPr>
      </w:pPr>
      <w:r>
        <w:rPr>
          <w:rFonts w:ascii="Calibri" w:hAnsi="Calibri" w:eastAsia="宋体" w:cs="宋体"/>
          <w:color w:val="000000"/>
          <w:kern w:val="0"/>
          <w:szCs w:val="21"/>
        </w:rPr>
        <w:t> </w:t>
      </w:r>
    </w:p>
    <w:p>
      <w:pPr>
        <w:widowControl/>
        <w:rPr>
          <w:rFonts w:ascii="Calibri" w:hAnsi="Calibri" w:eastAsia="宋体" w:cs="宋体"/>
          <w:color w:val="000000"/>
          <w:kern w:val="0"/>
          <w:szCs w:val="21"/>
        </w:rPr>
      </w:pPr>
    </w:p>
    <w:p>
      <w:pPr>
        <w:widowControl/>
        <w:rPr>
          <w:rFonts w:ascii="Calibri" w:hAnsi="Calibri" w:eastAsia="宋体" w:cs="宋体"/>
          <w:color w:val="000000"/>
          <w:kern w:val="0"/>
          <w:szCs w:val="21"/>
        </w:rPr>
      </w:pPr>
    </w:p>
    <w:p>
      <w:pPr>
        <w:widowControl/>
        <w:rPr>
          <w:rFonts w:ascii="Calibri" w:hAnsi="Calibri" w:eastAsia="宋体" w:cs="宋体"/>
          <w:color w:val="000000"/>
          <w:kern w:val="0"/>
          <w:szCs w:val="21"/>
        </w:rPr>
      </w:pPr>
    </w:p>
    <w:p>
      <w:pPr>
        <w:widowControl/>
        <w:rPr>
          <w:rFonts w:ascii="Calibri" w:hAnsi="Calibri" w:eastAsia="宋体" w:cs="宋体"/>
          <w:color w:val="000000"/>
          <w:kern w:val="0"/>
          <w:szCs w:val="21"/>
        </w:rPr>
      </w:pPr>
    </w:p>
    <w:p>
      <w:pPr>
        <w:widowControl/>
        <w:rPr>
          <w:rFonts w:ascii="Calibri" w:hAnsi="Calibri" w:eastAsia="宋体" w:cs="宋体"/>
          <w:color w:val="000000"/>
          <w:kern w:val="0"/>
          <w:szCs w:val="21"/>
        </w:rPr>
      </w:pPr>
    </w:p>
    <w:p>
      <w:pPr>
        <w:widowControl/>
        <w:rPr>
          <w:rFonts w:ascii="Calibri" w:hAnsi="Calibri" w:eastAsia="宋体" w:cs="宋体"/>
          <w:color w:val="000000"/>
          <w:kern w:val="0"/>
          <w:szCs w:val="21"/>
        </w:rPr>
      </w:pPr>
    </w:p>
    <w:p>
      <w:pPr>
        <w:widowControl/>
        <w:rPr>
          <w:rFonts w:ascii="Calibri" w:hAnsi="Calibri" w:eastAsia="宋体" w:cs="宋体"/>
          <w:color w:val="000000"/>
          <w:kern w:val="0"/>
          <w:szCs w:val="21"/>
        </w:rPr>
      </w:pPr>
    </w:p>
    <w:p>
      <w:pPr>
        <w:widowControl/>
        <w:rPr>
          <w:rFonts w:ascii="Calibri" w:hAnsi="Calibri" w:eastAsia="宋体" w:cs="宋体"/>
          <w:color w:val="000000"/>
          <w:kern w:val="0"/>
          <w:szCs w:val="21"/>
        </w:rPr>
      </w:pPr>
    </w:p>
    <w:p>
      <w:pPr>
        <w:widowControl/>
        <w:rPr>
          <w:rFonts w:ascii="Calibri" w:hAnsi="Calibri" w:eastAsia="宋体" w:cs="宋体"/>
          <w:color w:val="000000"/>
          <w:kern w:val="0"/>
          <w:szCs w:val="21"/>
        </w:rPr>
      </w:pPr>
    </w:p>
    <w:p>
      <w:pPr>
        <w:widowControl/>
        <w:rPr>
          <w:rFonts w:ascii="Calibri" w:hAnsi="Calibri" w:eastAsia="宋体" w:cs="宋体"/>
          <w:color w:val="000000"/>
          <w:kern w:val="0"/>
          <w:szCs w:val="21"/>
        </w:rPr>
      </w:pPr>
    </w:p>
    <w:p>
      <w:pPr>
        <w:widowControl/>
        <w:rPr>
          <w:rFonts w:ascii="Calibri" w:hAnsi="Calibri" w:eastAsia="宋体" w:cs="宋体"/>
          <w:color w:val="000000"/>
          <w:kern w:val="0"/>
          <w:szCs w:val="21"/>
        </w:rPr>
      </w:pPr>
    </w:p>
    <w:p>
      <w:pPr>
        <w:widowControl/>
        <w:rPr>
          <w:rFonts w:ascii="Calibri" w:hAnsi="Calibri" w:eastAsia="宋体" w:cs="宋体"/>
          <w:color w:val="000000"/>
          <w:kern w:val="0"/>
          <w:szCs w:val="21"/>
        </w:rPr>
      </w:pPr>
    </w:p>
    <w:p>
      <w:pPr>
        <w:widowControl/>
        <w:rPr>
          <w:rFonts w:ascii="Calibri" w:hAnsi="Calibri" w:eastAsia="宋体" w:cs="宋体"/>
          <w:color w:val="000000"/>
          <w:kern w:val="0"/>
          <w:szCs w:val="21"/>
        </w:rPr>
      </w:pPr>
    </w:p>
    <w:p>
      <w:pPr>
        <w:widowControl/>
        <w:rPr>
          <w:rFonts w:ascii="Calibri" w:hAnsi="Calibri" w:eastAsia="宋体" w:cs="宋体"/>
          <w:color w:val="000000"/>
          <w:kern w:val="0"/>
          <w:szCs w:val="21"/>
        </w:rPr>
      </w:pPr>
    </w:p>
    <w:p>
      <w:pPr>
        <w:widowControl/>
        <w:rPr>
          <w:rFonts w:ascii="Calibri" w:hAnsi="Calibri" w:eastAsia="宋体" w:cs="宋体"/>
          <w:color w:val="000000"/>
          <w:kern w:val="0"/>
          <w:szCs w:val="21"/>
        </w:rPr>
      </w:pPr>
    </w:p>
    <w:p>
      <w:pPr>
        <w:widowControl/>
        <w:rPr>
          <w:rFonts w:ascii="Calibri" w:hAnsi="Calibri" w:eastAsia="宋体" w:cs="宋体"/>
          <w:color w:val="000000"/>
          <w:kern w:val="0"/>
          <w:szCs w:val="21"/>
        </w:rPr>
      </w:pPr>
    </w:p>
    <w:p>
      <w:pPr>
        <w:widowControl/>
        <w:rPr>
          <w:rFonts w:ascii="Calibri" w:hAnsi="Calibri" w:eastAsia="宋体" w:cs="宋体"/>
          <w:color w:val="000000"/>
          <w:kern w:val="0"/>
          <w:szCs w:val="21"/>
        </w:rPr>
      </w:pPr>
    </w:p>
    <w:p>
      <w:pPr>
        <w:widowControl/>
        <w:rPr>
          <w:rFonts w:ascii="Calibri" w:hAnsi="Calibri" w:eastAsia="宋体" w:cs="宋体"/>
          <w:color w:val="000000"/>
          <w:kern w:val="0"/>
          <w:szCs w:val="21"/>
        </w:rPr>
      </w:pPr>
    </w:p>
    <w:p>
      <w:pPr>
        <w:widowControl/>
        <w:rPr>
          <w:rFonts w:ascii="Calibri" w:hAnsi="Calibri" w:eastAsia="宋体" w:cs="宋体"/>
          <w:color w:val="000000"/>
          <w:kern w:val="0"/>
          <w:szCs w:val="21"/>
        </w:rPr>
      </w:pPr>
    </w:p>
    <w:p>
      <w:pPr>
        <w:widowControl/>
        <w:rPr>
          <w:rFonts w:ascii="Calibri" w:hAnsi="Calibri" w:eastAsia="宋体" w:cs="宋体"/>
          <w:color w:val="000000"/>
          <w:kern w:val="0"/>
          <w:szCs w:val="21"/>
        </w:rPr>
      </w:pPr>
    </w:p>
    <w:p>
      <w:pPr>
        <w:widowControl/>
        <w:rPr>
          <w:rFonts w:ascii="Calibri" w:hAnsi="Calibri" w:eastAsia="宋体" w:cs="宋体"/>
          <w:color w:val="000000"/>
          <w:kern w:val="0"/>
          <w:szCs w:val="21"/>
        </w:rPr>
      </w:pPr>
    </w:p>
    <w:p>
      <w:pPr>
        <w:widowControl/>
        <w:rPr>
          <w:rFonts w:ascii="Calibri" w:hAnsi="Calibri" w:eastAsia="宋体" w:cs="宋体"/>
          <w:color w:val="000000"/>
          <w:kern w:val="0"/>
          <w:szCs w:val="21"/>
        </w:rPr>
      </w:pPr>
    </w:p>
    <w:p>
      <w:pPr>
        <w:widowControl/>
        <w:rPr>
          <w:rFonts w:ascii="Calibri" w:hAnsi="Calibri" w:eastAsia="宋体" w:cs="宋体"/>
          <w:color w:val="000000"/>
          <w:kern w:val="0"/>
          <w:szCs w:val="21"/>
        </w:rPr>
      </w:pPr>
    </w:p>
    <w:p>
      <w:pPr>
        <w:widowControl/>
        <w:rPr>
          <w:rFonts w:ascii="Calibri" w:hAnsi="Calibri" w:eastAsia="宋体" w:cs="宋体"/>
          <w:color w:val="000000"/>
          <w:kern w:val="0"/>
          <w:szCs w:val="21"/>
        </w:rPr>
      </w:pPr>
    </w:p>
    <w:p>
      <w:pPr>
        <w:widowControl/>
        <w:rPr>
          <w:rFonts w:ascii="Calibri" w:hAnsi="Calibri" w:eastAsia="宋体" w:cs="宋体"/>
          <w:color w:val="000000"/>
          <w:kern w:val="0"/>
          <w:szCs w:val="21"/>
        </w:rPr>
      </w:pPr>
    </w:p>
    <w:p>
      <w:pPr>
        <w:widowControl/>
        <w:rPr>
          <w:rFonts w:ascii="Calibri" w:hAnsi="Calibri" w:eastAsia="宋体" w:cs="宋体"/>
          <w:color w:val="000000"/>
          <w:kern w:val="0"/>
          <w:szCs w:val="21"/>
        </w:rPr>
      </w:pPr>
      <w:r>
        <w:rPr>
          <w:rFonts w:ascii="Calibri" w:hAnsi="Calibri" w:eastAsia="宋体" w:cs="宋体"/>
          <w:color w:val="000000"/>
          <w:kern w:val="0"/>
          <w:szCs w:val="21"/>
        </w:rPr>
        <w:t> </w:t>
      </w:r>
    </w:p>
    <w:p>
      <w:pPr>
        <w:widowControl/>
        <w:rPr>
          <w:rFonts w:ascii="Calibri" w:hAnsi="Calibri" w:eastAsia="宋体" w:cs="宋体"/>
          <w:color w:val="000000"/>
          <w:kern w:val="0"/>
          <w:szCs w:val="21"/>
        </w:rPr>
      </w:pPr>
      <w:r>
        <w:rPr>
          <w:color w:val="000000"/>
          <w:sz w:val="22"/>
        </w:rPr>
        <w:drawing>
          <wp:anchor distT="0" distB="0" distL="114300" distR="114300" simplePos="0" relativeHeight="251659264" behindDoc="0" locked="0" layoutInCell="1" allowOverlap="1">
            <wp:simplePos x="0" y="0"/>
            <wp:positionH relativeFrom="column">
              <wp:posOffset>-843280</wp:posOffset>
            </wp:positionH>
            <wp:positionV relativeFrom="paragraph">
              <wp:posOffset>17780</wp:posOffset>
            </wp:positionV>
            <wp:extent cx="4340860" cy="5026025"/>
            <wp:effectExtent l="0" t="0" r="2540" b="3175"/>
            <wp:wrapNone/>
            <wp:docPr id="2" name="图片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_2"/>
                    <pic:cNvPicPr>
                      <a:picLocks noChangeAspect="1"/>
                    </pic:cNvPicPr>
                  </pic:nvPicPr>
                  <pic:blipFill>
                    <a:blip r:embed="rId4"/>
                    <a:srcRect t="5964" r="41885" b="41109"/>
                    <a:stretch>
                      <a:fillRect/>
                    </a:stretch>
                  </pic:blipFill>
                  <pic:spPr>
                    <a:xfrm>
                      <a:off x="0" y="0"/>
                      <a:ext cx="4340860" cy="5026025"/>
                    </a:xfrm>
                    <a:prstGeom prst="rect">
                      <a:avLst/>
                    </a:prstGeom>
                  </pic:spPr>
                </pic:pic>
              </a:graphicData>
            </a:graphic>
          </wp:anchor>
        </w:drawing>
      </w:r>
      <w:r>
        <w:rPr>
          <w:rFonts w:ascii="Calibri" w:hAnsi="Calibri" w:eastAsia="宋体" w:cs="宋体"/>
          <w:color w:val="000000"/>
          <w:kern w:val="0"/>
          <w:szCs w:val="21"/>
        </w:rPr>
        <w:t> </w:t>
      </w:r>
    </w:p>
    <w:p>
      <w:pPr>
        <w:widowControl/>
        <w:rPr>
          <w:rFonts w:ascii="Calibri" w:hAnsi="Calibri" w:eastAsia="宋体" w:cs="宋体"/>
          <w:color w:val="000000"/>
          <w:kern w:val="0"/>
          <w:szCs w:val="21"/>
        </w:rPr>
      </w:pPr>
      <w:r>
        <w:rPr>
          <w:rFonts w:ascii="Calibri" w:hAnsi="Calibri" w:eastAsia="宋体" w:cs="宋体"/>
          <w:color w:val="000000"/>
          <w:kern w:val="0"/>
          <w:szCs w:val="21"/>
        </w:rPr>
        <w:t> </w:t>
      </w:r>
    </w:p>
    <w:p>
      <w:pPr>
        <w:widowControl/>
        <w:rPr>
          <w:rFonts w:ascii="Calibri" w:hAnsi="Calibri" w:eastAsia="宋体" w:cs="宋体"/>
          <w:color w:val="000000"/>
          <w:kern w:val="0"/>
          <w:szCs w:val="21"/>
        </w:rPr>
      </w:pPr>
      <w:r>
        <w:rPr>
          <w:rFonts w:ascii="Calibri" w:hAnsi="Calibri" w:eastAsia="宋体" w:cs="宋体"/>
          <w:color w:val="000000"/>
          <w:kern w:val="0"/>
          <w:szCs w:val="21"/>
        </w:rPr>
        <w:t> </w:t>
      </w:r>
    </w:p>
    <w:p>
      <w:pPr>
        <w:widowControl/>
        <w:rPr>
          <w:rFonts w:ascii="Calibri" w:hAnsi="Calibri" w:eastAsia="宋体" w:cs="宋体"/>
          <w:color w:val="000000"/>
          <w:kern w:val="0"/>
          <w:szCs w:val="21"/>
        </w:rPr>
      </w:pPr>
      <w:r>
        <w:rPr>
          <w:rFonts w:ascii="Calibri" w:hAnsi="Calibri" w:eastAsia="宋体" w:cs="宋体"/>
          <w:color w:val="000000"/>
          <w:kern w:val="0"/>
          <w:szCs w:val="21"/>
        </w:rPr>
        <w:t> </w:t>
      </w:r>
    </w:p>
    <w:p>
      <w:pPr>
        <w:widowControl/>
        <w:rPr>
          <w:rFonts w:ascii="Calibri" w:hAnsi="Calibri" w:eastAsia="宋体" w:cs="宋体"/>
          <w:color w:val="000000"/>
          <w:kern w:val="0"/>
          <w:szCs w:val="21"/>
        </w:rPr>
      </w:pPr>
      <w:r>
        <w:rPr>
          <w:rFonts w:ascii="Calibri" w:hAnsi="Calibri" w:eastAsia="宋体" w:cs="宋体"/>
          <w:color w:val="000000"/>
          <w:kern w:val="0"/>
          <w:szCs w:val="21"/>
        </w:rPr>
        <w:t> </w:t>
      </w:r>
    </w:p>
    <w:p>
      <w:pPr>
        <w:widowControl/>
        <w:rPr>
          <w:rFonts w:ascii="Calibri" w:hAnsi="Calibri" w:eastAsia="宋体" w:cs="宋体"/>
          <w:color w:val="000000"/>
          <w:kern w:val="0"/>
          <w:szCs w:val="21"/>
        </w:rPr>
      </w:pPr>
      <w:r>
        <w:rPr>
          <w:color w:val="000000"/>
          <w:sz w:val="22"/>
        </w:rPr>
        <w:drawing>
          <wp:anchor distT="0" distB="0" distL="114300" distR="114300" simplePos="0" relativeHeight="251659264" behindDoc="0" locked="0" layoutInCell="1" allowOverlap="1">
            <wp:simplePos x="0" y="0"/>
            <wp:positionH relativeFrom="column">
              <wp:posOffset>3091815</wp:posOffset>
            </wp:positionH>
            <wp:positionV relativeFrom="paragraph">
              <wp:posOffset>135890</wp:posOffset>
            </wp:positionV>
            <wp:extent cx="2667000" cy="2649855"/>
            <wp:effectExtent l="0" t="0" r="0" b="0"/>
            <wp:wrapNone/>
            <wp:docPr id="3" name="文本框_4"/>
            <wp:cNvGraphicFramePr/>
            <a:graphic xmlns:a="http://schemas.openxmlformats.org/drawingml/2006/main">
              <a:graphicData uri="http://schemas.openxmlformats.org/drawingml/2006/lockedCanvas">
                <lc:lockedCanvas xmlns:lc="http://schemas.openxmlformats.org/drawingml/2006/lockedCanvas">
                  <a:nvGrpSpPr>
                    <a:cNvPr id="1" name="组合 0"/>
                    <a:cNvGrpSpPr/>
                  </a:nvGrpSpPr>
                  <a:grpSpPr>
                    <a:xfrm>
                      <a:off x="3528060" y="6360160"/>
                      <a:ext cx="2571750" cy="2030730"/>
                      <a:chOff x="3528060" y="6360160"/>
                      <a:chExt cx="2571750" cy="2030730"/>
                    </a:xfrm>
                  </a:grpSpPr>
                  <a:sp>
                    <a:nvSpPr>
                      <a:cNvPr id="5" name="文本框 4"/>
                      <a:cNvSpPr txBox="1"/>
                    </a:nvSpPr>
                    <a:spPr>
                      <a:xfrm>
                        <a:off x="3528060" y="6360160"/>
                        <a:ext cx="2571750" cy="2030730"/>
                      </a:xfrm>
                      <a:prstGeom prst="rect">
                        <a:avLst/>
                      </a:prstGeom>
                    </a:spPr>
                    <a:txSp>
                      <a:txBody>
                        <a:bodyPr vertOverflow="clip" horzOverflow="clip" wrap="none" rtlCol="0" anchor="t"/>
                        <a:lstStyle>
                          <a:defPPr>
                            <a:defRPr lang="zh-CN">
                              <a:solidFill>
                                <a:schemeClr val="tx1"/>
                              </a:solidFill>
                            </a:defRPr>
                          </a:defPPr>
                          <a:lvl1pPr marL="0" algn="l" defTabSz="914400" rtl="0" eaLnBrk="1" latinLnBrk="0" hangingPunct="1">
                            <a:defRPr sz="1100">
                              <a:solidFill>
                                <a:schemeClr val="tx1"/>
                              </a:solidFill>
                              <a:latin typeface="+mn-lt"/>
                              <a:ea typeface="+mn-ea"/>
                              <a:cs typeface="+mn-cs"/>
                            </a:defRPr>
                          </a:lvl1pPr>
                          <a:lvl2pPr marL="457200" algn="l" defTabSz="914400" rtl="0" eaLnBrk="1" latinLnBrk="0" hangingPunct="1">
                            <a:defRPr sz="1100">
                              <a:solidFill>
                                <a:schemeClr val="tx1"/>
                              </a:solidFill>
                              <a:latin typeface="+mn-lt"/>
                              <a:ea typeface="+mn-ea"/>
                              <a:cs typeface="+mn-cs"/>
                            </a:defRPr>
                          </a:lvl2pPr>
                          <a:lvl3pPr marL="914400" algn="l" defTabSz="914400" rtl="0" eaLnBrk="1" latinLnBrk="0" hangingPunct="1">
                            <a:defRPr sz="1100">
                              <a:solidFill>
                                <a:schemeClr val="tx1"/>
                              </a:solidFill>
                              <a:latin typeface="+mn-lt"/>
                              <a:ea typeface="+mn-ea"/>
                              <a:cs typeface="+mn-cs"/>
                            </a:defRPr>
                          </a:lvl3pPr>
                          <a:lvl4pPr marL="1371600" algn="l" defTabSz="914400" rtl="0" eaLnBrk="1" latinLnBrk="0" hangingPunct="1">
                            <a:defRPr sz="1100">
                              <a:solidFill>
                                <a:schemeClr val="tx1"/>
                              </a:solidFill>
                              <a:latin typeface="+mn-lt"/>
                              <a:ea typeface="+mn-ea"/>
                              <a:cs typeface="+mn-cs"/>
                            </a:defRPr>
                          </a:lvl4pPr>
                          <a:lvl5pPr marL="1828800" algn="l" defTabSz="914400" rtl="0" eaLnBrk="1" latinLnBrk="0" hangingPunct="1">
                            <a:defRPr sz="1100">
                              <a:solidFill>
                                <a:schemeClr val="tx1"/>
                              </a:solidFill>
                              <a:latin typeface="+mn-lt"/>
                              <a:ea typeface="+mn-ea"/>
                              <a:cs typeface="+mn-cs"/>
                            </a:defRPr>
                          </a:lvl5pPr>
                          <a:lvl6pPr marL="2286000" algn="l" defTabSz="914400" rtl="0" eaLnBrk="1" latinLnBrk="0" hangingPunct="1">
                            <a:defRPr sz="1100">
                              <a:solidFill>
                                <a:schemeClr val="tx1"/>
                              </a:solidFill>
                              <a:latin typeface="+mn-lt"/>
                              <a:ea typeface="+mn-ea"/>
                              <a:cs typeface="+mn-cs"/>
                            </a:defRPr>
                          </a:lvl6pPr>
                          <a:lvl7pPr marL="2743200" algn="l" defTabSz="914400" rtl="0" eaLnBrk="1" latinLnBrk="0" hangingPunct="1">
                            <a:defRPr sz="1100">
                              <a:solidFill>
                                <a:schemeClr val="tx1"/>
                              </a:solidFill>
                              <a:latin typeface="+mn-lt"/>
                              <a:ea typeface="+mn-ea"/>
                              <a:cs typeface="+mn-cs"/>
                            </a:defRPr>
                          </a:lvl7pPr>
                          <a:lvl8pPr marL="3200400" algn="l" defTabSz="914400" rtl="0" eaLnBrk="1" latinLnBrk="0" hangingPunct="1">
                            <a:defRPr sz="1100">
                              <a:solidFill>
                                <a:schemeClr val="tx1"/>
                              </a:solidFill>
                              <a:latin typeface="+mn-lt"/>
                              <a:ea typeface="+mn-ea"/>
                              <a:cs typeface="+mn-cs"/>
                            </a:defRPr>
                          </a:lvl8pPr>
                          <a:lvl9pPr marL="3657600" algn="l" defTabSz="914400" rtl="0" eaLnBrk="1" latinLnBrk="0" hangingPunct="1">
                            <a:defRPr sz="1100">
                              <a:solidFill>
                                <a:schemeClr val="tx1"/>
                              </a:solidFill>
                              <a:latin typeface="+mn-lt"/>
                              <a:ea typeface="+mn-ea"/>
                              <a:cs typeface="+mn-cs"/>
                            </a:defRPr>
                          </a:lvl9pPr>
                        </a:lstStyle>
                        <a:p>
                          <a:pPr algn="l"/>
                          <a:r>
                            <a:rPr lang="en-US" altLang="zh-CN" sz="1100" b="1">
                              <a:solidFill>
                                <a:srgbClr val="FF0000"/>
                              </a:solidFill>
                            </a:rPr>
                            <a:t>  </a:t>
                          </a:r>
                          <a:r>
                            <a:rPr lang="zh-CN" altLang="en-US" sz="1100" b="1">
                              <a:solidFill>
                                <a:srgbClr val="FF0000"/>
                              </a:solidFill>
                            </a:rPr>
                            <a:t>内方管结构：</a:t>
                          </a:r>
                          <a:r>
                            <a:rPr lang="en-US" altLang="zh-CN" sz="1100" b="1">
                              <a:solidFill>
                                <a:srgbClr val="FF0000"/>
                              </a:solidFill>
                            </a:rPr>
                            <a:t>50*50</a:t>
                          </a:r>
                          <a:r>
                            <a:rPr lang="zh-CN" altLang="en-US" sz="1100" b="1">
                              <a:solidFill>
                                <a:srgbClr val="FF0000"/>
                              </a:solidFill>
                            </a:rPr>
                            <a:t>；厚</a:t>
                          </a:r>
                          <a:r>
                            <a:rPr lang="en-US" altLang="zh-CN" sz="1100" b="1">
                              <a:solidFill>
                                <a:srgbClr val="FF0000"/>
                              </a:solidFill>
                            </a:rPr>
                            <a:t>1.2</a:t>
                          </a:r>
                          <a:endParaRPr lang="en-US" altLang="zh-CN" sz="1100" b="1">
                            <a:solidFill>
                              <a:srgbClr val="FF0000"/>
                            </a:solidFill>
                          </a:endParaRPr>
                        </a:p>
                        <a:p>
                          <a:pPr algn="l"/>
                          <a:r>
                            <a:rPr lang="zh-CN" altLang="en-US" sz="1100" b="1">
                              <a:solidFill>
                                <a:sysClr val="windowText" lastClr="000000"/>
                              </a:solidFill>
                            </a:rPr>
                            <a:t>  压胶：蜂窝纸垫</a:t>
                          </a:r>
                          <a:endParaRPr lang="zh-CN" altLang="en-US" sz="1100" b="1">
                            <a:solidFill>
                              <a:sysClr val="windowText" lastClr="000000"/>
                            </a:solidFill>
                          </a:endParaRPr>
                        </a:p>
                        <a:p>
                          <a:pPr algn="l"/>
                          <a:r>
                            <a:rPr lang="zh-CN" altLang="en-US" sz="1100" b="1">
                              <a:solidFill>
                                <a:sysClr val="windowText" lastClr="000000"/>
                              </a:solidFill>
                            </a:rPr>
                            <a:t>  扇板：</a:t>
                          </a:r>
                          <a:r>
                            <a:rPr lang="en-US" altLang="zh-CN" sz="1100" b="1">
                              <a:solidFill>
                                <a:sysClr val="windowText" lastClr="000000"/>
                              </a:solidFill>
                            </a:rPr>
                            <a:t>0.8</a:t>
                          </a:r>
                          <a:r>
                            <a:rPr lang="zh-CN" altLang="en-US" sz="1100" b="1">
                              <a:solidFill>
                                <a:sysClr val="windowText" lastClr="000000"/>
                              </a:solidFill>
                            </a:rPr>
                            <a:t>电解板</a:t>
                          </a:r>
                          <a:endParaRPr lang="zh-CN" altLang="en-US" sz="1100" b="1">
                            <a:solidFill>
                              <a:sysClr val="windowText" lastClr="000000"/>
                            </a:solidFill>
                          </a:endParaRPr>
                        </a:p>
                        <a:p>
                          <a:pPr algn="l"/>
                          <a:r>
                            <a:rPr lang="zh-CN" altLang="en-US" sz="1100" b="1">
                              <a:solidFill>
                                <a:sysClr val="windowText" lastClr="000000"/>
                              </a:solidFill>
                            </a:rPr>
                            <a:t>  玻璃规格：</a:t>
                          </a:r>
                          <a:r>
                            <a:rPr lang="en-US" altLang="zh-CN" sz="1100" b="1">
                              <a:solidFill>
                                <a:sysClr val="windowText" lastClr="000000"/>
                              </a:solidFill>
                            </a:rPr>
                            <a:t>200*550</a:t>
                          </a:r>
                          <a:endParaRPr lang="en-US" altLang="zh-CN" sz="1100" b="1">
                            <a:solidFill>
                              <a:sysClr val="windowText" lastClr="000000"/>
                            </a:solidFill>
                          </a:endParaRPr>
                        </a:p>
                        <a:p>
                          <a:pPr algn="l"/>
                          <a:r>
                            <a:rPr lang="zh-CN" altLang="en-US" sz="1100" b="1">
                              <a:solidFill>
                                <a:sysClr val="windowText" lastClr="000000"/>
                              </a:solidFill>
                            </a:rPr>
                            <a:t>  双铁门闩</a:t>
                          </a:r>
                          <a:endParaRPr lang="zh-CN" altLang="en-US" sz="1100" b="1">
                            <a:solidFill>
                              <a:srgbClr val="FF0000"/>
                            </a:solidFill>
                          </a:endParaRPr>
                        </a:p>
                        <a:p>
                          <a:pPr algn="l"/>
                          <a:endParaRPr lang="zh-CN" altLang="en-US" sz="1100" b="1">
                            <a:solidFill>
                              <a:srgbClr val="FF0000"/>
                            </a:solidFill>
                          </a:endParaRPr>
                        </a:p>
                        <a:p>
                          <a:pPr algn="l"/>
                          <a:r>
                            <a:rPr lang="zh-CN" altLang="en-US" sz="1100" b="1">
                              <a:solidFill>
                                <a:srgbClr val="FF0000"/>
                              </a:solidFill>
                            </a:rPr>
                            <a:t>观察孔采用</a:t>
                          </a:r>
                          <a:r>
                            <a:rPr lang="zh-CN" altLang="en-US" b="1">
                              <a:solidFill>
                                <a:srgbClr val="FF0000"/>
                              </a:solidFill>
                              <a:sym typeface="+mn-ea"/>
                            </a:rPr>
                            <a:t>优质钢化玻璃厚度为</a:t>
                          </a:r>
                          <a:r>
                            <a:rPr lang="en-US" altLang="zh-CN" b="1">
                              <a:solidFill>
                                <a:srgbClr val="FF0000"/>
                              </a:solidFill>
                              <a:sym typeface="+mn-ea"/>
                            </a:rPr>
                            <a:t>5</a:t>
                          </a:r>
                          <a:r>
                            <a:rPr lang="zh-CN" altLang="en-US" b="1">
                              <a:solidFill>
                                <a:srgbClr val="FF0000"/>
                              </a:solidFill>
                              <a:sym typeface="+mn-ea"/>
                            </a:rPr>
                            <a:t>厘</a:t>
                          </a:r>
                          <a:endParaRPr lang="zh-CN" altLang="en-US" b="1">
                            <a:solidFill>
                              <a:srgbClr val="FF0000"/>
                            </a:solidFill>
                            <a:sym typeface="+mn-ea"/>
                          </a:endParaRPr>
                        </a:p>
                        <a:p>
                          <a:pPr algn="l"/>
                          <a:r>
                            <a:rPr lang="zh-CN" altLang="en-US" sz="1100" b="1">
                              <a:solidFill>
                                <a:srgbClr val="FF0000"/>
                              </a:solidFill>
                            </a:rPr>
                            <a:t>蓝色框表示防护框</a:t>
                          </a:r>
                          <a:endParaRPr lang="zh-CN" altLang="en-US" sz="1100" b="1">
                            <a:solidFill>
                              <a:srgbClr val="FF0000"/>
                            </a:solidFill>
                          </a:endParaRPr>
                        </a:p>
                      </a:txBody>
                      <a:useSpRect/>
                    </a:txSp>
                    <a:style>
                      <a:lnRef idx="0">
                        <a:scrgbClr r="0" g="0" b="0"/>
                      </a:lnRef>
                      <a:fillRef idx="0">
                        <a:scrgbClr r="0" g="0" b="0"/>
                      </a:fillRef>
                      <a:effectRef idx="0">
                        <a:scrgbClr r="0" g="0" b="0"/>
                      </a:effectRef>
                      <a:fontRef idx="minor">
                        <a:schemeClr val="tx1"/>
                      </a:fontRef>
                    </a:style>
                  </a:sp>
                </lc:lockedCanvas>
              </a:graphicData>
            </a:graphic>
          </wp:anchor>
        </w:drawing>
      </w:r>
      <w:r>
        <w:rPr>
          <w:rFonts w:ascii="Calibri" w:hAnsi="Calibri" w:eastAsia="宋体" w:cs="宋体"/>
          <w:color w:val="000000"/>
          <w:kern w:val="0"/>
          <w:szCs w:val="21"/>
        </w:rPr>
        <w:t> </w:t>
      </w:r>
    </w:p>
    <w:p>
      <w:pPr>
        <w:widowControl/>
        <w:rPr>
          <w:rFonts w:ascii="Calibri" w:hAnsi="Calibri" w:eastAsia="宋体" w:cs="宋体"/>
          <w:color w:val="000000"/>
          <w:kern w:val="0"/>
          <w:szCs w:val="21"/>
        </w:rPr>
      </w:pPr>
      <w:r>
        <w:rPr>
          <w:rFonts w:ascii="Calibri" w:hAnsi="Calibri" w:eastAsia="宋体" w:cs="宋体"/>
          <w:color w:val="000000"/>
          <w:kern w:val="0"/>
          <w:szCs w:val="21"/>
        </w:rPr>
        <w:t> </w:t>
      </w:r>
    </w:p>
    <w:p>
      <w:pPr>
        <w:widowControl/>
        <w:rPr>
          <w:rFonts w:ascii="Calibri" w:hAnsi="Calibri" w:eastAsia="宋体" w:cs="宋体"/>
          <w:color w:val="000000"/>
          <w:kern w:val="0"/>
          <w:szCs w:val="21"/>
        </w:rPr>
      </w:pPr>
      <w:r>
        <w:rPr>
          <w:rFonts w:ascii="Calibri" w:hAnsi="Calibri" w:eastAsia="宋体" w:cs="宋体"/>
          <w:color w:val="000000"/>
          <w:kern w:val="0"/>
          <w:szCs w:val="21"/>
        </w:rPr>
        <w:t> </w:t>
      </w:r>
    </w:p>
    <w:p>
      <w:pPr>
        <w:widowControl/>
        <w:rPr>
          <w:rFonts w:ascii="Calibri" w:hAnsi="Calibri" w:eastAsia="宋体" w:cs="宋体"/>
          <w:color w:val="000000"/>
          <w:kern w:val="0"/>
          <w:szCs w:val="21"/>
        </w:rPr>
      </w:pPr>
      <w:r>
        <w:rPr>
          <w:color w:val="000000"/>
          <w:sz w:val="22"/>
        </w:rPr>
        <w:drawing>
          <wp:anchor distT="0" distB="0" distL="114300" distR="114300" simplePos="0" relativeHeight="251659264" behindDoc="0" locked="0" layoutInCell="1" allowOverlap="1">
            <wp:simplePos x="0" y="0"/>
            <wp:positionH relativeFrom="column">
              <wp:posOffset>996315</wp:posOffset>
            </wp:positionH>
            <wp:positionV relativeFrom="paragraph">
              <wp:posOffset>10795</wp:posOffset>
            </wp:positionV>
            <wp:extent cx="341630" cy="874395"/>
            <wp:effectExtent l="0" t="0" r="0" b="0"/>
            <wp:wrapNone/>
            <wp:docPr id="4" name="矩形_3"/>
            <wp:cNvGraphicFramePr/>
            <a:graphic xmlns:a="http://schemas.openxmlformats.org/drawingml/2006/main">
              <a:graphicData uri="http://schemas.openxmlformats.org/drawingml/2006/lockedCanvas">
                <lc:lockedCanvas xmlns:lc="http://schemas.openxmlformats.org/drawingml/2006/lockedCanvas">
                  <a:nvGrpSpPr>
                    <a:cNvPr id="1" name="组合 0"/>
                    <a:cNvGrpSpPr/>
                  </a:nvGrpSpPr>
                  <a:grpSpPr>
                    <a:xfrm>
                      <a:off x="1506220" y="6747510"/>
                      <a:ext cx="341630" cy="874395"/>
                      <a:chOff x="1506220" y="6747510"/>
                      <a:chExt cx="341630" cy="874395"/>
                    </a:xfrm>
                  </a:grpSpPr>
                  <a:sp>
                    <a:nvSpPr>
                      <a:cNvPr id="4" name="矩形 3"/>
                      <a:cNvSpPr/>
                    </a:nvSpPr>
                    <a:spPr>
                      <a:xfrm>
                        <a:off x="1506220" y="6747510"/>
                        <a:ext cx="341630" cy="874395"/>
                      </a:xfrm>
                      <a:prstGeom prst="rect">
                        <a:avLst/>
                      </a:prstGeom>
                      <a:noFill/>
                      <a:ln w="28575">
                        <a:solidFill>
                          <a:srgbClr val="00B0F0"/>
                        </a:solidFill>
                      </a:ln>
                    </a:spPr>
                    <a:txSp>
                      <a:txBody>
                        <a:bodyPr vertOverflow="clip" horzOverflow="clip" wrap="square" rtlCol="0" anchor="t"/>
                        <a:lstStyle>
                          <a:defPPr>
                            <a:defRPr lang="zh-CN">
                              <a:solidFill>
                                <a:schemeClr val="dk1"/>
                              </a:solidFill>
                            </a:defRPr>
                          </a:defPPr>
                          <a:lvl1pPr marL="0" algn="l" defTabSz="914400" rtl="0" eaLnBrk="1" latinLnBrk="0" hangingPunct="1">
                            <a:defRPr sz="1100">
                              <a:solidFill>
                                <a:schemeClr val="dk1"/>
                              </a:solidFill>
                              <a:latin typeface="+mn-lt"/>
                              <a:ea typeface="+mn-ea"/>
                              <a:cs typeface="+mn-cs"/>
                            </a:defRPr>
                          </a:lvl1pPr>
                          <a:lvl2pPr marL="457200" algn="l" defTabSz="914400" rtl="0" eaLnBrk="1" latinLnBrk="0" hangingPunct="1">
                            <a:defRPr sz="1100">
                              <a:solidFill>
                                <a:schemeClr val="dk1"/>
                              </a:solidFill>
                              <a:latin typeface="+mn-lt"/>
                              <a:ea typeface="+mn-ea"/>
                              <a:cs typeface="+mn-cs"/>
                            </a:defRPr>
                          </a:lvl2pPr>
                          <a:lvl3pPr marL="914400" algn="l" defTabSz="914400" rtl="0" eaLnBrk="1" latinLnBrk="0" hangingPunct="1">
                            <a:defRPr sz="1100">
                              <a:solidFill>
                                <a:schemeClr val="dk1"/>
                              </a:solidFill>
                              <a:latin typeface="+mn-lt"/>
                              <a:ea typeface="+mn-ea"/>
                              <a:cs typeface="+mn-cs"/>
                            </a:defRPr>
                          </a:lvl3pPr>
                          <a:lvl4pPr marL="1371600" algn="l" defTabSz="914400" rtl="0" eaLnBrk="1" latinLnBrk="0" hangingPunct="1">
                            <a:defRPr sz="1100">
                              <a:solidFill>
                                <a:schemeClr val="dk1"/>
                              </a:solidFill>
                              <a:latin typeface="+mn-lt"/>
                              <a:ea typeface="+mn-ea"/>
                              <a:cs typeface="+mn-cs"/>
                            </a:defRPr>
                          </a:lvl4pPr>
                          <a:lvl5pPr marL="1828800" algn="l" defTabSz="914400" rtl="0" eaLnBrk="1" latinLnBrk="0" hangingPunct="1">
                            <a:defRPr sz="1100">
                              <a:solidFill>
                                <a:schemeClr val="dk1"/>
                              </a:solidFill>
                              <a:latin typeface="+mn-lt"/>
                              <a:ea typeface="+mn-ea"/>
                              <a:cs typeface="+mn-cs"/>
                            </a:defRPr>
                          </a:lvl5pPr>
                          <a:lvl6pPr marL="2286000" algn="l" defTabSz="914400" rtl="0" eaLnBrk="1" latinLnBrk="0" hangingPunct="1">
                            <a:defRPr sz="1100">
                              <a:solidFill>
                                <a:schemeClr val="dk1"/>
                              </a:solidFill>
                              <a:latin typeface="+mn-lt"/>
                              <a:ea typeface="+mn-ea"/>
                              <a:cs typeface="+mn-cs"/>
                            </a:defRPr>
                          </a:lvl6pPr>
                          <a:lvl7pPr marL="2743200" algn="l" defTabSz="914400" rtl="0" eaLnBrk="1" latinLnBrk="0" hangingPunct="1">
                            <a:defRPr sz="1100">
                              <a:solidFill>
                                <a:schemeClr val="dk1"/>
                              </a:solidFill>
                              <a:latin typeface="+mn-lt"/>
                              <a:ea typeface="+mn-ea"/>
                              <a:cs typeface="+mn-cs"/>
                            </a:defRPr>
                          </a:lvl7pPr>
                          <a:lvl8pPr marL="3200400" algn="l" defTabSz="914400" rtl="0" eaLnBrk="1" latinLnBrk="0" hangingPunct="1">
                            <a:defRPr sz="1100">
                              <a:solidFill>
                                <a:schemeClr val="dk1"/>
                              </a:solidFill>
                              <a:latin typeface="+mn-lt"/>
                              <a:ea typeface="+mn-ea"/>
                              <a:cs typeface="+mn-cs"/>
                            </a:defRPr>
                          </a:lvl8pPr>
                          <a:lvl9pPr marL="3657600" algn="l" defTabSz="914400" rtl="0" eaLnBrk="1" latinLnBrk="0" hangingPunct="1">
                            <a:defRPr sz="1100">
                              <a:solidFill>
                                <a:schemeClr val="dk1"/>
                              </a:solidFill>
                              <a:latin typeface="+mn-lt"/>
                              <a:ea typeface="+mn-ea"/>
                              <a:cs typeface="+mn-cs"/>
                            </a:defRPr>
                          </a:lvl9pPr>
                        </a:lstStyle>
                        <a:p>
                          <a:pPr algn="l"/>
                          <a:endParaRPr lang="zh-CN" altLang="en-US" sz="1100"/>
                        </a:p>
                      </a:txBody>
                      <a:useSpRect/>
                    </a:txSp>
                    <a:style>
                      <a:lnRef idx="2">
                        <a:schemeClr val="accent5"/>
                      </a:lnRef>
                      <a:fillRef idx="1">
                        <a:schemeClr val="lt1"/>
                      </a:fillRef>
                      <a:effectRef idx="0">
                        <a:schemeClr val="accent5"/>
                      </a:effectRef>
                      <a:fontRef idx="minor">
                        <a:schemeClr val="dk1"/>
                      </a:fontRef>
                    </a:style>
                  </a:sp>
                </lc:lockedCanvas>
              </a:graphicData>
            </a:graphic>
          </wp:anchor>
        </w:drawing>
      </w:r>
      <w:r>
        <w:rPr>
          <w:rFonts w:ascii="Calibri" w:hAnsi="Calibri" w:eastAsia="宋体" w:cs="宋体"/>
          <w:color w:val="000000"/>
          <w:kern w:val="0"/>
          <w:szCs w:val="21"/>
        </w:rPr>
        <w:t> </w:t>
      </w:r>
    </w:p>
    <w:p>
      <w:pPr>
        <w:widowControl/>
        <w:rPr>
          <w:rFonts w:hint="eastAsia" w:ascii="Calibri" w:hAnsi="Calibri" w:eastAsia="宋体" w:cs="宋体"/>
          <w:color w:val="000000"/>
          <w:kern w:val="0"/>
          <w:szCs w:val="21"/>
        </w:rPr>
      </w:pPr>
      <w:r>
        <w:rPr>
          <w:rFonts w:ascii="Calibri" w:hAnsi="Calibri" w:eastAsia="宋体" w:cs="宋体"/>
          <w:color w:val="000000"/>
          <w:kern w:val="0"/>
          <w:szCs w:val="21"/>
        </w:rPr>
        <w:t> </w:t>
      </w:r>
    </w:p>
    <w:p>
      <w:pPr>
        <w:widowControl/>
        <w:rPr>
          <w:rFonts w:hint="eastAsia" w:ascii="Calibri" w:hAnsi="Calibri" w:eastAsia="宋体" w:cs="宋体"/>
          <w:color w:val="000000"/>
          <w:kern w:val="0"/>
          <w:szCs w:val="21"/>
        </w:rPr>
      </w:pPr>
    </w:p>
    <w:p>
      <w:pPr>
        <w:widowControl/>
        <w:rPr>
          <w:rFonts w:hint="eastAsia" w:ascii="Calibri" w:hAnsi="Calibri" w:eastAsia="宋体" w:cs="宋体"/>
          <w:color w:val="000000"/>
          <w:kern w:val="0"/>
          <w:szCs w:val="21"/>
        </w:rPr>
      </w:pPr>
    </w:p>
    <w:p>
      <w:pPr>
        <w:widowControl/>
        <w:rPr>
          <w:rFonts w:hint="eastAsia" w:ascii="Calibri" w:hAnsi="Calibri" w:eastAsia="宋体" w:cs="宋体"/>
          <w:color w:val="000000"/>
          <w:kern w:val="0"/>
          <w:szCs w:val="21"/>
        </w:rPr>
      </w:pPr>
      <w:r>
        <w:rPr>
          <w:color w:val="000000"/>
          <w:sz w:val="22"/>
        </w:rPr>
        <w:drawing>
          <wp:anchor distT="0" distB="0" distL="114300" distR="114300" simplePos="0" relativeHeight="251659264" behindDoc="0" locked="0" layoutInCell="1" allowOverlap="1">
            <wp:simplePos x="0" y="0"/>
            <wp:positionH relativeFrom="column">
              <wp:posOffset>1414780</wp:posOffset>
            </wp:positionH>
            <wp:positionV relativeFrom="paragraph">
              <wp:posOffset>151130</wp:posOffset>
            </wp:positionV>
            <wp:extent cx="1758950" cy="252095"/>
            <wp:effectExtent l="0" t="0" r="0" b="0"/>
            <wp:wrapNone/>
            <wp:docPr id="5" name="直接箭头连接符_5"/>
            <wp:cNvGraphicFramePr/>
            <a:graphic xmlns:a="http://schemas.openxmlformats.org/drawingml/2006/main">
              <a:graphicData uri="http://schemas.openxmlformats.org/drawingml/2006/lockedCanvas">
                <lc:lockedCanvas xmlns:lc="http://schemas.openxmlformats.org/drawingml/2006/lockedCanvas">
                  <a:nvGrpSpPr>
                    <a:cNvPr id="1" name="组合 0"/>
                    <a:cNvGrpSpPr/>
                  </a:nvGrpSpPr>
                  <a:grpSpPr>
                    <a:xfrm>
                      <a:off x="1848485" y="7430770"/>
                      <a:ext cx="1758950" cy="252095"/>
                      <a:chOff x="1848485" y="7430770"/>
                      <a:chExt cx="1758950" cy="252095"/>
                    </a:xfrm>
                  </a:grpSpPr>
                  <a:cxnSp>
                    <a:nvCxnSpPr>
                      <a:cNvPr id="6" name="直接箭头连接符 5"/>
                      <a:cNvCxnSpPr/>
                    </a:nvCxnSpPr>
                    <a:spPr>
                      <a:xfrm>
                        <a:off x="1848485" y="7430770"/>
                        <a:ext cx="1758950" cy="252095"/>
                      </a:xfrm>
                      <a:prstGeom prst="straightConnector1">
                        <a:avLst/>
                      </a:prstGeom>
                      <a:ln w="19050">
                        <a:tailEnd type="arrow"/>
                      </a:ln>
                    </a:spPr>
                    <a:style>
                      <a:lnRef idx="1">
                        <a:schemeClr val="accent1"/>
                      </a:lnRef>
                      <a:fillRef idx="0">
                        <a:schemeClr val="accent1"/>
                      </a:fillRef>
                      <a:effectRef idx="0">
                        <a:schemeClr val="accent1"/>
                      </a:effectRef>
                      <a:fontRef idx="minor">
                        <a:schemeClr val="tx1"/>
                      </a:fontRef>
                    </a:style>
                  </a:cxnSp>
                </lc:lockedCanvas>
              </a:graphicData>
            </a:graphic>
          </wp:anchor>
        </w:drawing>
      </w:r>
    </w:p>
    <w:p>
      <w:pPr>
        <w:widowControl/>
        <w:rPr>
          <w:rFonts w:hint="eastAsia" w:ascii="Calibri" w:hAnsi="Calibri" w:eastAsia="宋体" w:cs="宋体"/>
          <w:color w:val="000000"/>
          <w:kern w:val="0"/>
          <w:szCs w:val="21"/>
        </w:rPr>
      </w:pPr>
    </w:p>
    <w:p>
      <w:pPr>
        <w:widowControl/>
        <w:rPr>
          <w:rFonts w:hint="eastAsia" w:ascii="Calibri" w:hAnsi="Calibri" w:eastAsia="宋体" w:cs="宋体"/>
          <w:color w:val="000000"/>
          <w:kern w:val="0"/>
          <w:szCs w:val="21"/>
        </w:rPr>
      </w:pPr>
    </w:p>
    <w:p>
      <w:pPr>
        <w:widowControl/>
        <w:rPr>
          <w:rFonts w:hint="eastAsia" w:ascii="Calibri" w:hAnsi="Calibri" w:eastAsia="宋体" w:cs="宋体"/>
          <w:color w:val="000000"/>
          <w:kern w:val="0"/>
          <w:szCs w:val="21"/>
        </w:rPr>
      </w:pPr>
    </w:p>
    <w:p>
      <w:pPr>
        <w:widowControl/>
        <w:rPr>
          <w:rFonts w:hint="eastAsia" w:ascii="Calibri" w:hAnsi="Calibri" w:eastAsia="宋体" w:cs="宋体"/>
          <w:color w:val="000000"/>
          <w:kern w:val="0"/>
          <w:szCs w:val="21"/>
        </w:rPr>
      </w:pPr>
    </w:p>
    <w:p>
      <w:pPr>
        <w:widowControl/>
        <w:rPr>
          <w:rFonts w:hint="eastAsia" w:ascii="Calibri" w:hAnsi="Calibri" w:eastAsia="宋体" w:cs="宋体"/>
          <w:color w:val="000000"/>
          <w:kern w:val="0"/>
          <w:szCs w:val="21"/>
        </w:rPr>
      </w:pPr>
    </w:p>
    <w:p>
      <w:pPr>
        <w:widowControl/>
        <w:rPr>
          <w:rFonts w:hint="eastAsia" w:ascii="Calibri" w:hAnsi="Calibri" w:eastAsia="宋体" w:cs="宋体"/>
          <w:color w:val="000000"/>
          <w:kern w:val="0"/>
          <w:szCs w:val="21"/>
        </w:rPr>
      </w:pPr>
    </w:p>
    <w:p>
      <w:pPr>
        <w:widowControl/>
        <w:rPr>
          <w:rFonts w:hint="eastAsia" w:ascii="Calibri" w:hAnsi="Calibri" w:eastAsia="宋体" w:cs="宋体"/>
          <w:color w:val="000000"/>
          <w:kern w:val="0"/>
          <w:szCs w:val="21"/>
        </w:rPr>
      </w:pPr>
    </w:p>
    <w:p>
      <w:pPr>
        <w:widowControl/>
        <w:rPr>
          <w:rFonts w:hint="eastAsia" w:ascii="Calibri" w:hAnsi="Calibri" w:eastAsia="宋体" w:cs="宋体"/>
          <w:color w:val="000000"/>
          <w:kern w:val="0"/>
          <w:szCs w:val="21"/>
        </w:rPr>
      </w:pPr>
    </w:p>
    <w:p>
      <w:pPr>
        <w:widowControl/>
        <w:rPr>
          <w:rFonts w:hint="eastAsia" w:ascii="Calibri" w:hAnsi="Calibri" w:eastAsia="宋体" w:cs="宋体"/>
          <w:color w:val="000000"/>
          <w:kern w:val="0"/>
          <w:szCs w:val="21"/>
        </w:rPr>
      </w:pPr>
    </w:p>
    <w:p>
      <w:pPr>
        <w:widowControl/>
        <w:rPr>
          <w:rFonts w:hint="eastAsia" w:ascii="Calibri" w:hAnsi="Calibri" w:eastAsia="宋体" w:cs="宋体"/>
          <w:color w:val="000000"/>
          <w:kern w:val="0"/>
          <w:szCs w:val="21"/>
        </w:rPr>
      </w:pPr>
    </w:p>
    <w:p>
      <w:pPr>
        <w:widowControl/>
        <w:rPr>
          <w:rFonts w:hint="eastAsia" w:ascii="Calibri" w:hAnsi="Calibri" w:eastAsia="宋体" w:cs="宋体"/>
          <w:color w:val="000000"/>
          <w:kern w:val="0"/>
          <w:szCs w:val="21"/>
        </w:rPr>
      </w:pPr>
    </w:p>
    <w:p>
      <w:pPr>
        <w:widowControl/>
        <w:rPr>
          <w:rFonts w:hint="eastAsia" w:ascii="Calibri" w:hAnsi="Calibri" w:eastAsia="宋体" w:cs="宋体"/>
          <w:color w:val="000000"/>
          <w:kern w:val="0"/>
          <w:szCs w:val="21"/>
        </w:rPr>
      </w:pPr>
    </w:p>
    <w:p>
      <w:pPr>
        <w:widowControl/>
        <w:rPr>
          <w:rFonts w:hint="eastAsia" w:ascii="Calibri" w:hAnsi="Calibri" w:eastAsia="宋体" w:cs="宋体"/>
          <w:color w:val="000000"/>
          <w:kern w:val="0"/>
          <w:szCs w:val="21"/>
        </w:rPr>
      </w:pPr>
    </w:p>
    <w:p>
      <w:pPr>
        <w:widowControl/>
        <w:rPr>
          <w:rFonts w:hint="eastAsia" w:ascii="Calibri" w:hAnsi="Calibri" w:eastAsia="宋体" w:cs="宋体"/>
          <w:color w:val="000000"/>
          <w:kern w:val="0"/>
          <w:szCs w:val="21"/>
        </w:rPr>
      </w:pPr>
    </w:p>
    <w:p>
      <w:pPr>
        <w:widowControl/>
        <w:rPr>
          <w:rFonts w:hint="eastAsia" w:ascii="Calibri" w:hAnsi="Calibri" w:eastAsia="宋体" w:cs="宋体"/>
          <w:color w:val="000000"/>
          <w:kern w:val="0"/>
          <w:szCs w:val="21"/>
        </w:rPr>
      </w:pPr>
    </w:p>
    <w:p>
      <w:pPr>
        <w:widowControl/>
        <w:rPr>
          <w:rFonts w:hint="eastAsia" w:ascii="Calibri" w:hAnsi="Calibri" w:eastAsia="宋体" w:cs="宋体"/>
          <w:color w:val="000000"/>
          <w:kern w:val="0"/>
          <w:szCs w:val="21"/>
        </w:rPr>
      </w:pPr>
    </w:p>
    <w:p>
      <w:pPr>
        <w:widowControl/>
        <w:rPr>
          <w:rFonts w:hint="eastAsia" w:ascii="Calibri" w:hAnsi="Calibri" w:eastAsia="宋体" w:cs="宋体"/>
          <w:color w:val="000000"/>
          <w:kern w:val="0"/>
          <w:szCs w:val="21"/>
        </w:rPr>
      </w:pPr>
    </w:p>
    <w:p>
      <w:pPr>
        <w:widowControl/>
        <w:rPr>
          <w:rFonts w:hint="eastAsia" w:ascii="Calibri" w:hAnsi="Calibri" w:eastAsia="宋体" w:cs="宋体"/>
          <w:color w:val="000000"/>
          <w:kern w:val="0"/>
          <w:szCs w:val="21"/>
        </w:rPr>
      </w:pPr>
    </w:p>
    <w:p>
      <w:pPr>
        <w:widowControl/>
        <w:rPr>
          <w:rFonts w:hint="eastAsia" w:ascii="Calibri" w:hAnsi="Calibri" w:eastAsia="宋体" w:cs="宋体"/>
          <w:color w:val="000000"/>
          <w:kern w:val="0"/>
          <w:szCs w:val="21"/>
        </w:rPr>
      </w:pPr>
    </w:p>
    <w:p>
      <w:pPr>
        <w:widowControl/>
        <w:rPr>
          <w:rFonts w:hint="eastAsia" w:ascii="Calibri" w:hAnsi="Calibri" w:eastAsia="宋体" w:cs="宋体"/>
          <w:color w:val="000000"/>
          <w:kern w:val="0"/>
          <w:szCs w:val="21"/>
        </w:rPr>
      </w:pPr>
    </w:p>
    <w:p>
      <w:pPr>
        <w:widowControl/>
        <w:rPr>
          <w:rFonts w:hint="eastAsia" w:ascii="Calibri" w:hAnsi="Calibri" w:eastAsia="宋体" w:cs="宋体"/>
          <w:color w:val="000000"/>
          <w:kern w:val="0"/>
          <w:szCs w:val="21"/>
        </w:rPr>
      </w:pPr>
    </w:p>
    <w:p>
      <w:pPr>
        <w:widowControl/>
        <w:rPr>
          <w:rFonts w:hint="eastAsia" w:ascii="Calibri" w:hAnsi="Calibri" w:eastAsia="宋体" w:cs="宋体"/>
          <w:color w:val="000000"/>
          <w:kern w:val="0"/>
          <w:szCs w:val="21"/>
        </w:rPr>
      </w:pPr>
    </w:p>
    <w:p>
      <w:pPr>
        <w:widowControl/>
        <w:rPr>
          <w:rFonts w:ascii="Calibri" w:hAnsi="Calibri" w:eastAsia="宋体" w:cs="宋体"/>
          <w:color w:val="000000"/>
          <w:kern w:val="0"/>
          <w:szCs w:val="21"/>
        </w:rPr>
      </w:pPr>
    </w:p>
    <w:p>
      <w:pPr>
        <w:widowControl/>
        <w:rPr>
          <w:rFonts w:hint="eastAsia" w:ascii="宋体" w:hAnsi="宋体" w:eastAsia="宋体" w:cs="宋体"/>
          <w:b/>
          <w:bCs/>
          <w:color w:val="000000"/>
          <w:kern w:val="0"/>
          <w:sz w:val="28"/>
          <w:szCs w:val="28"/>
        </w:rPr>
      </w:pPr>
    </w:p>
    <w:p>
      <w:pPr>
        <w:widowControl/>
        <w:rPr>
          <w:rFonts w:ascii="Calibri" w:hAnsi="Calibri" w:eastAsia="宋体" w:cs="宋体"/>
          <w:color w:val="000000"/>
          <w:kern w:val="0"/>
          <w:szCs w:val="21"/>
        </w:rPr>
      </w:pPr>
      <w:r>
        <w:rPr>
          <w:rFonts w:hint="eastAsia" w:ascii="宋体" w:hAnsi="宋体" w:eastAsia="宋体" w:cs="宋体"/>
          <w:b/>
          <w:bCs/>
          <w:color w:val="000000"/>
          <w:kern w:val="0"/>
          <w:sz w:val="28"/>
          <w:szCs w:val="28"/>
        </w:rPr>
        <w:t>附件</w:t>
      </w:r>
      <w:r>
        <w:rPr>
          <w:rFonts w:ascii="Calibri" w:hAnsi="Calibri" w:eastAsia="宋体" w:cs="宋体"/>
          <w:b/>
          <w:bCs/>
          <w:color w:val="000000"/>
          <w:kern w:val="0"/>
          <w:sz w:val="28"/>
          <w:szCs w:val="28"/>
        </w:rPr>
        <w:t>2</w:t>
      </w:r>
    </w:p>
    <w:p>
      <w:pPr>
        <w:widowControl/>
        <w:wordWrap w:val="0"/>
        <w:spacing w:line="540" w:lineRule="atLeast"/>
        <w:ind w:firstLine="720"/>
        <w:jc w:val="center"/>
        <w:rPr>
          <w:rFonts w:ascii="Calibri" w:hAnsi="Calibri" w:eastAsia="宋体" w:cs="宋体"/>
          <w:color w:val="000000"/>
          <w:kern w:val="0"/>
          <w:szCs w:val="21"/>
        </w:rPr>
      </w:pPr>
      <w:r>
        <w:rPr>
          <w:rFonts w:hint="eastAsia" w:ascii="宋体" w:hAnsi="宋体" w:eastAsia="宋体" w:cs="宋体"/>
          <w:color w:val="000000"/>
          <w:kern w:val="0"/>
          <w:sz w:val="36"/>
          <w:szCs w:val="36"/>
          <w:shd w:val="clear" w:color="auto" w:fill="DCDDE1"/>
        </w:rPr>
        <w:br w:type="textWrapping"/>
      </w:r>
      <w:r>
        <w:rPr>
          <w:rFonts w:hint="eastAsia" w:ascii="宋体" w:hAnsi="宋体" w:eastAsia="宋体" w:cs="宋体"/>
          <w:color w:val="21201E"/>
          <w:kern w:val="0"/>
          <w:sz w:val="28"/>
          <w:szCs w:val="28"/>
        </w:rPr>
        <w:t>现场勘察证明</w:t>
      </w:r>
    </w:p>
    <w:p>
      <w:pPr>
        <w:widowControl/>
        <w:wordWrap w:val="0"/>
        <w:spacing w:line="540" w:lineRule="atLeast"/>
        <w:ind w:firstLine="560"/>
        <w:jc w:val="left"/>
        <w:rPr>
          <w:rFonts w:ascii="Calibri" w:hAnsi="Calibri" w:eastAsia="宋体" w:cs="宋体"/>
          <w:color w:val="000000"/>
          <w:kern w:val="0"/>
          <w:szCs w:val="21"/>
        </w:rPr>
      </w:pPr>
      <w:r>
        <w:rPr>
          <w:rFonts w:hint="eastAsia" w:ascii="宋体" w:hAnsi="宋体" w:eastAsia="宋体" w:cs="宋体"/>
          <w:color w:val="21201E"/>
          <w:kern w:val="0"/>
          <w:sz w:val="28"/>
          <w:szCs w:val="28"/>
        </w:rPr>
        <w:t>我方于</w:t>
      </w:r>
      <w:r>
        <w:rPr>
          <w:rFonts w:ascii="Calibri" w:hAnsi="Calibri" w:eastAsia="宋体" w:cs="宋体"/>
          <w:color w:val="21201E"/>
          <w:kern w:val="0"/>
          <w:sz w:val="28"/>
          <w:szCs w:val="28"/>
        </w:rPr>
        <w:t>    </w:t>
      </w:r>
      <w:r>
        <w:rPr>
          <w:rFonts w:hint="eastAsia" w:ascii="宋体" w:hAnsi="宋体" w:eastAsia="宋体" w:cs="宋体"/>
          <w:color w:val="21201E"/>
          <w:kern w:val="0"/>
          <w:sz w:val="28"/>
          <w:szCs w:val="28"/>
        </w:rPr>
        <w:t>年</w:t>
      </w:r>
      <w:r>
        <w:rPr>
          <w:rFonts w:ascii="Calibri" w:hAnsi="Calibri" w:eastAsia="宋体" w:cs="宋体"/>
          <w:color w:val="21201E"/>
          <w:kern w:val="0"/>
          <w:sz w:val="28"/>
          <w:szCs w:val="28"/>
        </w:rPr>
        <w:t>    </w:t>
      </w:r>
      <w:r>
        <w:rPr>
          <w:rFonts w:hint="eastAsia" w:ascii="宋体" w:hAnsi="宋体" w:eastAsia="宋体" w:cs="宋体"/>
          <w:color w:val="21201E"/>
          <w:kern w:val="0"/>
          <w:sz w:val="28"/>
          <w:szCs w:val="28"/>
        </w:rPr>
        <w:t>月</w:t>
      </w:r>
      <w:r>
        <w:rPr>
          <w:rFonts w:ascii="Calibri" w:hAnsi="Calibri" w:eastAsia="宋体" w:cs="宋体"/>
          <w:color w:val="21201E"/>
          <w:kern w:val="0"/>
          <w:sz w:val="28"/>
          <w:szCs w:val="28"/>
        </w:rPr>
        <w:t>   </w:t>
      </w:r>
      <w:r>
        <w:rPr>
          <w:rFonts w:hint="eastAsia" w:ascii="宋体" w:hAnsi="宋体" w:eastAsia="宋体" w:cs="宋体"/>
          <w:color w:val="21201E"/>
          <w:kern w:val="0"/>
          <w:sz w:val="28"/>
          <w:szCs w:val="28"/>
        </w:rPr>
        <w:t>日完成对</w:t>
      </w:r>
      <w:r>
        <w:rPr>
          <w:rFonts w:hint="eastAsia" w:ascii="宋体" w:hAnsi="宋体" w:eastAsia="宋体" w:cs="宋体"/>
          <w:color w:val="21201E"/>
          <w:kern w:val="0"/>
          <w:sz w:val="28"/>
          <w:szCs w:val="28"/>
          <w:u w:val="single"/>
        </w:rPr>
        <w:t>福建省泉州第一中学东海校区教室、学生公寓门项目</w:t>
      </w:r>
      <w:r>
        <w:rPr>
          <w:rFonts w:hint="eastAsia" w:ascii="宋体" w:hAnsi="宋体" w:eastAsia="宋体" w:cs="宋体"/>
          <w:color w:val="21201E"/>
          <w:kern w:val="0"/>
          <w:sz w:val="28"/>
          <w:szCs w:val="28"/>
        </w:rPr>
        <w:t>现场勘察。</w:t>
      </w:r>
    </w:p>
    <w:p>
      <w:pPr>
        <w:widowControl/>
        <w:wordWrap w:val="0"/>
        <w:spacing w:line="540" w:lineRule="atLeast"/>
        <w:ind w:firstLine="560"/>
        <w:jc w:val="left"/>
        <w:rPr>
          <w:rFonts w:ascii="Calibri" w:hAnsi="Calibri" w:eastAsia="宋体" w:cs="宋体"/>
          <w:color w:val="000000"/>
          <w:kern w:val="0"/>
          <w:szCs w:val="21"/>
        </w:rPr>
      </w:pPr>
      <w:r>
        <w:rPr>
          <w:rFonts w:hint="eastAsia" w:ascii="宋体" w:hAnsi="宋体" w:eastAsia="宋体" w:cs="宋体"/>
          <w:color w:val="21201E"/>
          <w:kern w:val="0"/>
          <w:sz w:val="28"/>
          <w:szCs w:val="28"/>
        </w:rPr>
        <w:t>特此证明</w:t>
      </w:r>
    </w:p>
    <w:p>
      <w:pPr>
        <w:widowControl/>
        <w:wordWrap w:val="0"/>
        <w:spacing w:line="540" w:lineRule="atLeast"/>
        <w:ind w:firstLine="560"/>
        <w:jc w:val="left"/>
        <w:rPr>
          <w:rFonts w:ascii="Calibri" w:hAnsi="Calibri" w:eastAsia="宋体" w:cs="宋体"/>
          <w:color w:val="000000"/>
          <w:kern w:val="0"/>
          <w:szCs w:val="21"/>
        </w:rPr>
      </w:pPr>
      <w:r>
        <w:rPr>
          <w:rFonts w:ascii="Calibri" w:hAnsi="Calibri" w:eastAsia="宋体" w:cs="宋体"/>
          <w:color w:val="21201E"/>
          <w:kern w:val="0"/>
          <w:sz w:val="28"/>
          <w:szCs w:val="28"/>
        </w:rPr>
        <w:t> </w:t>
      </w:r>
    </w:p>
    <w:p>
      <w:pPr>
        <w:widowControl/>
        <w:wordWrap w:val="0"/>
        <w:spacing w:line="540" w:lineRule="atLeast"/>
        <w:ind w:firstLine="560"/>
        <w:jc w:val="left"/>
        <w:rPr>
          <w:rFonts w:ascii="Calibri" w:hAnsi="Calibri" w:eastAsia="宋体" w:cs="宋体"/>
          <w:color w:val="000000"/>
          <w:kern w:val="0"/>
          <w:szCs w:val="21"/>
        </w:rPr>
      </w:pPr>
      <w:r>
        <w:rPr>
          <w:rFonts w:ascii="Calibri" w:hAnsi="Calibri" w:eastAsia="宋体" w:cs="宋体"/>
          <w:color w:val="21201E"/>
          <w:kern w:val="0"/>
          <w:sz w:val="28"/>
          <w:szCs w:val="28"/>
        </w:rPr>
        <w:t> </w:t>
      </w:r>
    </w:p>
    <w:p>
      <w:pPr>
        <w:widowControl/>
        <w:wordWrap w:val="0"/>
        <w:spacing w:line="540" w:lineRule="atLeast"/>
        <w:ind w:firstLine="560"/>
        <w:jc w:val="center"/>
        <w:rPr>
          <w:rFonts w:ascii="Calibri" w:hAnsi="Calibri" w:eastAsia="宋体" w:cs="宋体"/>
          <w:color w:val="000000"/>
          <w:kern w:val="0"/>
          <w:szCs w:val="21"/>
        </w:rPr>
      </w:pPr>
      <w:r>
        <w:rPr>
          <w:rFonts w:hint="eastAsia" w:ascii="Calibri" w:hAnsi="Calibri" w:eastAsia="宋体" w:cs="宋体"/>
          <w:color w:val="21201E"/>
          <w:kern w:val="0"/>
          <w:sz w:val="28"/>
          <w:szCs w:val="28"/>
          <w:lang w:val="en-US" w:eastAsia="zh-CN"/>
        </w:rPr>
        <w:t xml:space="preserve">                 </w:t>
      </w:r>
      <w:r>
        <w:rPr>
          <w:rFonts w:ascii="Calibri" w:hAnsi="Calibri" w:eastAsia="宋体" w:cs="宋体"/>
          <w:color w:val="21201E"/>
          <w:kern w:val="0"/>
          <w:sz w:val="28"/>
          <w:szCs w:val="28"/>
        </w:rPr>
        <w:t> </w:t>
      </w:r>
      <w:r>
        <w:rPr>
          <w:rFonts w:hint="eastAsia" w:ascii="宋体" w:hAnsi="宋体" w:eastAsia="宋体" w:cs="宋体"/>
          <w:color w:val="21201E"/>
          <w:kern w:val="0"/>
          <w:sz w:val="28"/>
          <w:szCs w:val="28"/>
        </w:rPr>
        <w:t>投标商名称（公章）：</w:t>
      </w:r>
    </w:p>
    <w:p>
      <w:pPr>
        <w:widowControl/>
        <w:spacing w:line="540" w:lineRule="atLeast"/>
        <w:ind w:firstLine="560"/>
        <w:jc w:val="center"/>
        <w:rPr>
          <w:rFonts w:ascii="Calibri" w:hAnsi="Calibri" w:eastAsia="宋体" w:cs="宋体"/>
          <w:color w:val="000000"/>
          <w:kern w:val="0"/>
          <w:szCs w:val="21"/>
        </w:rPr>
      </w:pPr>
      <w:r>
        <w:rPr>
          <w:rFonts w:hint="eastAsia" w:ascii="宋体" w:hAnsi="宋体" w:eastAsia="宋体" w:cs="宋体"/>
          <w:color w:val="21201E"/>
          <w:kern w:val="0"/>
          <w:sz w:val="28"/>
          <w:szCs w:val="28"/>
          <w:lang w:val="en-US" w:eastAsia="zh-CN"/>
        </w:rPr>
        <w:t xml:space="preserve">       </w:t>
      </w:r>
      <w:r>
        <w:rPr>
          <w:rFonts w:hint="eastAsia" w:ascii="宋体" w:hAnsi="宋体" w:eastAsia="宋体" w:cs="宋体"/>
          <w:color w:val="21201E"/>
          <w:kern w:val="0"/>
          <w:sz w:val="28"/>
          <w:szCs w:val="28"/>
        </w:rPr>
        <w:t>校方签名：</w:t>
      </w:r>
    </w:p>
    <w:p>
      <w:pPr>
        <w:widowControl/>
        <w:wordWrap w:val="0"/>
        <w:spacing w:line="540" w:lineRule="atLeast"/>
        <w:ind w:firstLine="560"/>
        <w:jc w:val="center"/>
        <w:rPr>
          <w:rFonts w:ascii="Calibri" w:hAnsi="Calibri" w:eastAsia="宋体" w:cs="宋体"/>
          <w:color w:val="000000"/>
          <w:kern w:val="0"/>
          <w:szCs w:val="21"/>
        </w:rPr>
      </w:pPr>
      <w:r>
        <w:rPr>
          <w:rFonts w:hint="eastAsia" w:ascii="宋体" w:hAnsi="宋体" w:eastAsia="宋体" w:cs="宋体"/>
          <w:color w:val="21201E"/>
          <w:kern w:val="0"/>
          <w:sz w:val="28"/>
          <w:szCs w:val="28"/>
        </w:rPr>
        <w:t> </w:t>
      </w:r>
      <w:r>
        <w:rPr>
          <w:rFonts w:hint="eastAsia" w:ascii="宋体" w:hAnsi="宋体" w:eastAsia="宋体" w:cs="宋体"/>
          <w:color w:val="21201E"/>
          <w:kern w:val="0"/>
          <w:sz w:val="28"/>
          <w:szCs w:val="28"/>
          <w:lang w:val="en-US" w:eastAsia="zh-CN"/>
        </w:rPr>
        <w:t xml:space="preserve">               </w:t>
      </w:r>
      <w:r>
        <w:rPr>
          <w:rFonts w:hint="eastAsia" w:ascii="宋体" w:hAnsi="宋体" w:eastAsia="宋体" w:cs="宋体"/>
          <w:color w:val="21201E"/>
          <w:kern w:val="0"/>
          <w:sz w:val="28"/>
          <w:szCs w:val="28"/>
        </w:rPr>
        <w:t>年  月  日</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widowControl/>
        <w:rPr>
          <w:rFonts w:hint="eastAsia" w:ascii="Calibri" w:hAnsi="Calibri" w:eastAsia="宋体" w:cs="宋体"/>
          <w:color w:val="000000"/>
          <w:kern w:val="0"/>
          <w:szCs w:val="21"/>
          <w:lang w:eastAsia="zh-CN"/>
        </w:rPr>
      </w:pPr>
      <w:r>
        <w:rPr>
          <w:rFonts w:hint="eastAsia" w:ascii="宋体" w:hAnsi="宋体" w:eastAsia="宋体" w:cs="宋体"/>
          <w:b/>
          <w:bCs/>
          <w:color w:val="000000"/>
          <w:kern w:val="0"/>
          <w:sz w:val="28"/>
          <w:szCs w:val="28"/>
        </w:rPr>
        <w:t>附件</w:t>
      </w:r>
      <w:r>
        <w:rPr>
          <w:rFonts w:hint="eastAsia" w:ascii="Calibri" w:hAnsi="Calibri" w:eastAsia="宋体" w:cs="宋体"/>
          <w:b/>
          <w:bCs/>
          <w:color w:val="000000"/>
          <w:kern w:val="0"/>
          <w:sz w:val="28"/>
          <w:szCs w:val="28"/>
          <w:lang w:val="en-US" w:eastAsia="zh-CN"/>
        </w:rPr>
        <w:t>3</w:t>
      </w:r>
    </w:p>
    <w:p>
      <w:pPr>
        <w:rPr>
          <w:rFonts w:hint="eastAsia"/>
        </w:rPr>
      </w:pPr>
    </w:p>
    <w:p>
      <w:pPr>
        <w:rPr>
          <w:rFonts w:hint="eastAsia"/>
        </w:rPr>
      </w:pPr>
    </w:p>
    <w:tbl>
      <w:tblPr>
        <w:tblStyle w:val="2"/>
        <w:tblW w:w="9200" w:type="dxa"/>
        <w:tblInd w:w="93" w:type="dxa"/>
        <w:tblLayout w:type="autofit"/>
        <w:tblCellMar>
          <w:top w:w="0" w:type="dxa"/>
          <w:left w:w="108" w:type="dxa"/>
          <w:bottom w:w="0" w:type="dxa"/>
          <w:right w:w="108" w:type="dxa"/>
        </w:tblCellMar>
      </w:tblPr>
      <w:tblGrid>
        <w:gridCol w:w="609"/>
        <w:gridCol w:w="2283"/>
        <w:gridCol w:w="609"/>
        <w:gridCol w:w="3431"/>
        <w:gridCol w:w="609"/>
        <w:gridCol w:w="253"/>
        <w:gridCol w:w="609"/>
        <w:gridCol w:w="185"/>
        <w:gridCol w:w="612"/>
      </w:tblGrid>
      <w:tr>
        <w:tblPrEx>
          <w:tblCellMar>
            <w:top w:w="0" w:type="dxa"/>
            <w:left w:w="108" w:type="dxa"/>
            <w:bottom w:w="0" w:type="dxa"/>
            <w:right w:w="108" w:type="dxa"/>
          </w:tblCellMar>
        </w:tblPrEx>
        <w:trPr>
          <w:trHeight w:val="873" w:hRule="atLeast"/>
        </w:trPr>
        <w:tc>
          <w:tcPr>
            <w:tcW w:w="9200" w:type="dxa"/>
            <w:gridSpan w:val="9"/>
            <w:tcBorders>
              <w:top w:val="nil"/>
              <w:left w:val="nil"/>
              <w:bottom w:val="nil"/>
              <w:right w:val="nil"/>
            </w:tcBorders>
            <w:shd w:val="clear" w:color="auto" w:fill="auto"/>
            <w:noWrap/>
            <w:vAlign w:val="center"/>
          </w:tcPr>
          <w:p>
            <w:pPr>
              <w:jc w:val="center"/>
              <w:rPr>
                <w:rFonts w:ascii="宋体" w:hAnsi="宋体" w:eastAsia="宋体" w:cs="宋体"/>
                <w:b/>
                <w:bCs/>
                <w:color w:val="000000"/>
                <w:sz w:val="40"/>
                <w:szCs w:val="40"/>
              </w:rPr>
            </w:pPr>
            <w:r>
              <w:rPr>
                <w:rFonts w:hint="eastAsia"/>
                <w:b/>
                <w:bCs/>
                <w:color w:val="000000"/>
                <w:sz w:val="40"/>
                <w:szCs w:val="40"/>
              </w:rPr>
              <w:t>报价单</w:t>
            </w:r>
          </w:p>
        </w:tc>
      </w:tr>
      <w:tr>
        <w:tblPrEx>
          <w:tblCellMar>
            <w:top w:w="0" w:type="dxa"/>
            <w:left w:w="108" w:type="dxa"/>
            <w:bottom w:w="0" w:type="dxa"/>
            <w:right w:w="108" w:type="dxa"/>
          </w:tblCellMar>
        </w:tblPrEx>
        <w:trPr>
          <w:trHeight w:val="685" w:hRule="atLeast"/>
        </w:trPr>
        <w:tc>
          <w:tcPr>
            <w:tcW w:w="9200"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32"/>
                <w:szCs w:val="32"/>
              </w:rPr>
            </w:pPr>
            <w:r>
              <w:rPr>
                <w:rFonts w:hint="eastAsia"/>
                <w:color w:val="000000"/>
                <w:sz w:val="32"/>
                <w:szCs w:val="32"/>
              </w:rPr>
              <w:t>学生公寓宿舍门和教学楼教室门数量、参数及要求</w:t>
            </w:r>
          </w:p>
        </w:tc>
      </w:tr>
      <w:tr>
        <w:tblPrEx>
          <w:tblCellMar>
            <w:top w:w="0" w:type="dxa"/>
            <w:left w:w="108" w:type="dxa"/>
            <w:bottom w:w="0" w:type="dxa"/>
            <w:right w:w="108" w:type="dxa"/>
          </w:tblCellMar>
        </w:tblPrEx>
        <w:trPr>
          <w:trHeight w:val="764"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序号</w:t>
            </w:r>
          </w:p>
        </w:tc>
        <w:tc>
          <w:tcPr>
            <w:tcW w:w="28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品名</w:t>
            </w:r>
          </w:p>
        </w:tc>
        <w:tc>
          <w:tcPr>
            <w:tcW w:w="40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规格(单位：mm)</w:t>
            </w:r>
          </w:p>
        </w:tc>
        <w:tc>
          <w:tcPr>
            <w:tcW w:w="8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数</w:t>
            </w:r>
            <w:r>
              <w:rPr>
                <w:rFonts w:hint="eastAsia"/>
                <w:color w:val="000000"/>
                <w:sz w:val="22"/>
              </w:rPr>
              <w:br w:type="textWrapping"/>
            </w:r>
            <w:r>
              <w:rPr>
                <w:rFonts w:hint="eastAsia"/>
                <w:color w:val="000000"/>
                <w:sz w:val="22"/>
              </w:rPr>
              <w:t>量</w:t>
            </w:r>
          </w:p>
        </w:tc>
        <w:tc>
          <w:tcPr>
            <w:tcW w:w="7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单</w:t>
            </w:r>
            <w:r>
              <w:rPr>
                <w:rFonts w:hint="eastAsia"/>
                <w:color w:val="000000"/>
                <w:sz w:val="22"/>
              </w:rPr>
              <w:br w:type="textWrapping"/>
            </w:r>
            <w:r>
              <w:rPr>
                <w:rFonts w:hint="eastAsia"/>
                <w:color w:val="000000"/>
                <w:sz w:val="22"/>
              </w:rPr>
              <w:t>位</w:t>
            </w:r>
          </w:p>
        </w:tc>
      </w:tr>
      <w:tr>
        <w:tblPrEx>
          <w:tblCellMar>
            <w:top w:w="0" w:type="dxa"/>
            <w:left w:w="108" w:type="dxa"/>
            <w:bottom w:w="0" w:type="dxa"/>
            <w:right w:w="108" w:type="dxa"/>
          </w:tblCellMar>
        </w:tblPrEx>
        <w:trPr>
          <w:trHeight w:val="1776"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1</w:t>
            </w:r>
          </w:p>
        </w:tc>
        <w:tc>
          <w:tcPr>
            <w:tcW w:w="28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钢质复合门(带观察口)</w:t>
            </w:r>
          </w:p>
        </w:tc>
        <w:tc>
          <w:tcPr>
            <w:tcW w:w="4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高2260mm，宽880mm，门扇成型厚度50mm，颜色为深蓝色，观察口规格200*550mm，采用厚度5厘优质钢化玻璃外加防护框</w:t>
            </w:r>
          </w:p>
        </w:tc>
        <w:tc>
          <w:tcPr>
            <w:tcW w:w="86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ascii="宋体" w:hAnsi="宋体" w:eastAsia="宋体" w:cs="宋体"/>
                <w:color w:val="000000"/>
                <w:sz w:val="22"/>
              </w:rPr>
              <w:t>43</w:t>
            </w:r>
          </w:p>
        </w:tc>
        <w:tc>
          <w:tcPr>
            <w:tcW w:w="7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樘</w:t>
            </w:r>
          </w:p>
        </w:tc>
      </w:tr>
      <w:tr>
        <w:tblPrEx>
          <w:tblCellMar>
            <w:top w:w="0" w:type="dxa"/>
            <w:left w:w="108" w:type="dxa"/>
            <w:bottom w:w="0" w:type="dxa"/>
            <w:right w:w="108" w:type="dxa"/>
          </w:tblCellMar>
        </w:tblPrEx>
        <w:trPr>
          <w:trHeight w:val="1637"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2</w:t>
            </w:r>
          </w:p>
        </w:tc>
        <w:tc>
          <w:tcPr>
            <w:tcW w:w="28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钢质复合门(带观察口)</w:t>
            </w:r>
          </w:p>
        </w:tc>
        <w:tc>
          <w:tcPr>
            <w:tcW w:w="4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高2090mm，宽880mm，门扇成型厚度50mm，颜色为深蓝色，观察口规格200*550mm，采用厚度5厘优质钢化玻璃外加防护框</w:t>
            </w:r>
          </w:p>
        </w:tc>
        <w:tc>
          <w:tcPr>
            <w:tcW w:w="86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ascii="宋体" w:hAnsi="宋体" w:eastAsia="宋体" w:cs="宋体"/>
                <w:color w:val="000000"/>
                <w:sz w:val="22"/>
              </w:rPr>
              <w:t>35</w:t>
            </w:r>
          </w:p>
        </w:tc>
        <w:tc>
          <w:tcPr>
            <w:tcW w:w="7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樘</w:t>
            </w:r>
          </w:p>
        </w:tc>
      </w:tr>
      <w:tr>
        <w:tblPrEx>
          <w:tblCellMar>
            <w:top w:w="0" w:type="dxa"/>
            <w:left w:w="108" w:type="dxa"/>
            <w:bottom w:w="0" w:type="dxa"/>
            <w:right w:w="108" w:type="dxa"/>
          </w:tblCellMar>
        </w:tblPrEx>
        <w:trPr>
          <w:trHeight w:val="744"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3</w:t>
            </w:r>
          </w:p>
        </w:tc>
        <w:tc>
          <w:tcPr>
            <w:tcW w:w="28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门锁</w:t>
            </w:r>
          </w:p>
        </w:tc>
        <w:tc>
          <w:tcPr>
            <w:tcW w:w="40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通用锁具（送校方审核）</w:t>
            </w:r>
          </w:p>
        </w:tc>
        <w:tc>
          <w:tcPr>
            <w:tcW w:w="86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ascii="宋体" w:hAnsi="宋体" w:eastAsia="宋体" w:cs="宋体"/>
                <w:color w:val="000000"/>
                <w:sz w:val="22"/>
              </w:rPr>
              <w:t>78</w:t>
            </w:r>
          </w:p>
        </w:tc>
        <w:tc>
          <w:tcPr>
            <w:tcW w:w="7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套</w:t>
            </w:r>
          </w:p>
        </w:tc>
      </w:tr>
      <w:tr>
        <w:tblPrEx>
          <w:tblCellMar>
            <w:top w:w="0" w:type="dxa"/>
            <w:left w:w="108" w:type="dxa"/>
            <w:bottom w:w="0" w:type="dxa"/>
            <w:right w:w="108" w:type="dxa"/>
          </w:tblCellMar>
        </w:tblPrEx>
        <w:trPr>
          <w:trHeight w:val="685"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4</w:t>
            </w:r>
          </w:p>
        </w:tc>
        <w:tc>
          <w:tcPr>
            <w:tcW w:w="28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拆除旧门及搬运</w:t>
            </w:r>
          </w:p>
        </w:tc>
        <w:tc>
          <w:tcPr>
            <w:tcW w:w="4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从各层楼人工拆除旧门扇并堆放到指定地方</w:t>
            </w:r>
          </w:p>
        </w:tc>
        <w:tc>
          <w:tcPr>
            <w:tcW w:w="86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ascii="宋体" w:hAnsi="宋体" w:eastAsia="宋体" w:cs="宋体"/>
                <w:color w:val="000000"/>
                <w:sz w:val="22"/>
              </w:rPr>
              <w:t>78</w:t>
            </w:r>
          </w:p>
        </w:tc>
        <w:tc>
          <w:tcPr>
            <w:tcW w:w="7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r>
              <w:rPr>
                <w:rFonts w:hint="eastAsia"/>
                <w:color w:val="000000"/>
                <w:sz w:val="22"/>
              </w:rPr>
              <w:t>樘</w:t>
            </w:r>
          </w:p>
        </w:tc>
      </w:tr>
      <w:tr>
        <w:tblPrEx>
          <w:tblCellMar>
            <w:top w:w="0" w:type="dxa"/>
            <w:left w:w="108" w:type="dxa"/>
            <w:bottom w:w="0" w:type="dxa"/>
            <w:right w:w="108" w:type="dxa"/>
          </w:tblCellMar>
        </w:tblPrEx>
        <w:trPr>
          <w:trHeight w:val="1577" w:hRule="atLeast"/>
        </w:trPr>
        <w:tc>
          <w:tcPr>
            <w:tcW w:w="920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Style w:val="4"/>
                <w:rFonts w:hint="default"/>
                <w:b/>
                <w:sz w:val="32"/>
                <w:szCs w:val="32"/>
              </w:rPr>
            </w:pPr>
            <w:r>
              <w:rPr>
                <w:rStyle w:val="4"/>
                <w:rFonts w:hint="default"/>
                <w:b/>
                <w:sz w:val="32"/>
                <w:szCs w:val="32"/>
              </w:rPr>
              <w:t>含运费，含安装及含税，质保期：非人为破坏三年质保。</w:t>
            </w:r>
          </w:p>
          <w:p>
            <w:pPr>
              <w:jc w:val="left"/>
              <w:rPr>
                <w:rFonts w:ascii="宋体" w:hAnsi="宋体" w:eastAsia="宋体" w:cs="宋体"/>
                <w:b/>
                <w:color w:val="000000"/>
                <w:sz w:val="36"/>
                <w:szCs w:val="36"/>
              </w:rPr>
            </w:pPr>
            <w:r>
              <w:rPr>
                <w:rStyle w:val="4"/>
                <w:rFonts w:hint="default"/>
                <w:b/>
                <w:sz w:val="32"/>
                <w:szCs w:val="32"/>
              </w:rPr>
              <w:t>总报价：（大写）             ¥：        元</w:t>
            </w:r>
          </w:p>
        </w:tc>
      </w:tr>
      <w:tr>
        <w:tblPrEx>
          <w:tblCellMar>
            <w:top w:w="0" w:type="dxa"/>
            <w:left w:w="108" w:type="dxa"/>
            <w:bottom w:w="0" w:type="dxa"/>
            <w:right w:w="108" w:type="dxa"/>
          </w:tblCellMar>
        </w:tblPrEx>
        <w:trPr>
          <w:gridAfter w:val="1"/>
          <w:wAfter w:w="612" w:type="dxa"/>
          <w:trHeight w:val="320" w:hRule="atLeast"/>
        </w:trPr>
        <w:tc>
          <w:tcPr>
            <w:tcW w:w="2892" w:type="dxa"/>
            <w:gridSpan w:val="2"/>
            <w:tcBorders>
              <w:top w:val="nil"/>
              <w:left w:val="nil"/>
              <w:bottom w:val="nil"/>
              <w:right w:val="nil"/>
            </w:tcBorders>
            <w:shd w:val="clear" w:color="auto" w:fill="auto"/>
            <w:noWrap/>
            <w:vAlign w:val="center"/>
          </w:tcPr>
          <w:p>
            <w:pPr>
              <w:rPr>
                <w:rFonts w:ascii="宋体" w:hAnsi="宋体" w:eastAsia="宋体" w:cs="宋体"/>
                <w:color w:val="000000"/>
                <w:sz w:val="22"/>
              </w:rPr>
            </w:pPr>
          </w:p>
        </w:tc>
        <w:tc>
          <w:tcPr>
            <w:tcW w:w="4040" w:type="dxa"/>
            <w:gridSpan w:val="2"/>
            <w:tcBorders>
              <w:top w:val="nil"/>
              <w:left w:val="nil"/>
              <w:bottom w:val="nil"/>
              <w:right w:val="nil"/>
            </w:tcBorders>
            <w:shd w:val="clear" w:color="auto" w:fill="auto"/>
            <w:noWrap/>
            <w:vAlign w:val="center"/>
          </w:tcPr>
          <w:p>
            <w:pPr>
              <w:rPr>
                <w:rFonts w:ascii="宋体" w:hAnsi="宋体" w:eastAsia="宋体" w:cs="宋体"/>
                <w:color w:val="000000"/>
                <w:sz w:val="22"/>
              </w:rPr>
            </w:pPr>
          </w:p>
        </w:tc>
        <w:tc>
          <w:tcPr>
            <w:tcW w:w="862" w:type="dxa"/>
            <w:gridSpan w:val="2"/>
            <w:tcBorders>
              <w:top w:val="nil"/>
              <w:left w:val="nil"/>
              <w:bottom w:val="nil"/>
              <w:right w:val="nil"/>
            </w:tcBorders>
            <w:shd w:val="clear" w:color="auto" w:fill="auto"/>
            <w:noWrap/>
            <w:vAlign w:val="center"/>
          </w:tcPr>
          <w:p>
            <w:pPr>
              <w:rPr>
                <w:rFonts w:ascii="宋体" w:hAnsi="宋体" w:eastAsia="宋体" w:cs="宋体"/>
                <w:color w:val="000000"/>
                <w:sz w:val="22"/>
              </w:rPr>
            </w:pPr>
          </w:p>
        </w:tc>
        <w:tc>
          <w:tcPr>
            <w:tcW w:w="794" w:type="dxa"/>
            <w:gridSpan w:val="2"/>
            <w:tcBorders>
              <w:top w:val="nil"/>
              <w:left w:val="nil"/>
              <w:bottom w:val="nil"/>
              <w:right w:val="nil"/>
            </w:tcBorders>
            <w:shd w:val="clear" w:color="auto" w:fill="auto"/>
            <w:noWrap/>
            <w:vAlign w:val="center"/>
          </w:tcPr>
          <w:p>
            <w:pPr>
              <w:rPr>
                <w:rFonts w:ascii="宋体" w:hAnsi="宋体" w:eastAsia="宋体" w:cs="宋体"/>
                <w:color w:val="000000"/>
                <w:sz w:val="22"/>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64FA"/>
    <w:rsid w:val="000E557B"/>
    <w:rsid w:val="001764FA"/>
    <w:rsid w:val="0052022C"/>
    <w:rsid w:val="007F2477"/>
    <w:rsid w:val="00947C02"/>
    <w:rsid w:val="00A27750"/>
    <w:rsid w:val="00B4726A"/>
    <w:rsid w:val="00CD3316"/>
    <w:rsid w:val="00D71573"/>
    <w:rsid w:val="1CC81CFE"/>
    <w:rsid w:val="2A8C692B"/>
    <w:rsid w:val="30130FFF"/>
    <w:rsid w:val="42A31993"/>
    <w:rsid w:val="43710B10"/>
    <w:rsid w:val="55BD1015"/>
    <w:rsid w:val="652F2278"/>
    <w:rsid w:val="744147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character" w:customStyle="1" w:styleId="4">
    <w:name w:val="font31"/>
    <w:basedOn w:val="3"/>
    <w:qFormat/>
    <w:uiPriority w:val="0"/>
    <w:rPr>
      <w:rFonts w:hint="eastAsia" w:ascii="宋体" w:hAnsi="宋体" w:eastAsia="宋体"/>
      <w:color w:val="000000"/>
      <w:sz w:val="22"/>
      <w:szCs w:val="22"/>
      <w:u w:val="none"/>
    </w:rPr>
  </w:style>
  <w:style w:type="character" w:customStyle="1" w:styleId="5">
    <w:name w:val="font01"/>
    <w:basedOn w:val="3"/>
    <w:qFormat/>
    <w:uiPriority w:val="0"/>
    <w:rPr>
      <w:rFonts w:hint="eastAsia" w:ascii="宋体" w:hAnsi="宋体" w:eastAsia="宋体"/>
      <w:color w:val="000000"/>
      <w:sz w:val="22"/>
      <w:szCs w:val="22"/>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247</Words>
  <Characters>1409</Characters>
  <Lines>11</Lines>
  <Paragraphs>3</Paragraphs>
  <TotalTime>7</TotalTime>
  <ScaleCrop>false</ScaleCrop>
  <LinksUpToDate>false</LinksUpToDate>
  <CharactersWithSpaces>1653</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2021-10-25T01:50:00Z</dcterms:created>
  <dc:creator>Windows 用户</dc:creator>
  <cp:lastModifiedBy>GK1419770234</cp:lastModifiedBy>
  <dcterms:modified xsi:type="dcterms:W3CDTF">2021-10-26T03:34:15Z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68D1F5D13E014721912DE3E4467B8C58</vt:lpwstr>
  </property>
</Properties>
</file>